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57F0" w14:textId="77777777" w:rsidR="00D46F70" w:rsidRPr="00DF0EDA" w:rsidRDefault="00D46F70" w:rsidP="00D46F70">
      <w:pPr>
        <w:jc w:val="right"/>
        <w:rPr>
          <w:rFonts w:eastAsia="Calibri"/>
          <w:bCs/>
          <w:iCs/>
          <w:sz w:val="23"/>
          <w:szCs w:val="23"/>
        </w:rPr>
      </w:pPr>
      <w:r w:rsidRPr="00DF0EDA">
        <w:rPr>
          <w:rFonts w:eastAsia="Calibri"/>
          <w:bCs/>
          <w:iCs/>
          <w:sz w:val="23"/>
          <w:szCs w:val="23"/>
        </w:rPr>
        <w:t>Додаток №</w:t>
      </w:r>
      <w:r w:rsidR="00B15613" w:rsidRPr="00DF0EDA">
        <w:rPr>
          <w:rFonts w:eastAsia="Calibri"/>
          <w:bCs/>
          <w:iCs/>
          <w:sz w:val="23"/>
          <w:szCs w:val="23"/>
        </w:rPr>
        <w:t xml:space="preserve"> </w:t>
      </w:r>
      <w:r w:rsidRPr="00DF0EDA">
        <w:rPr>
          <w:rFonts w:eastAsia="Calibri"/>
          <w:bCs/>
          <w:iCs/>
          <w:sz w:val="23"/>
          <w:szCs w:val="23"/>
        </w:rPr>
        <w:t xml:space="preserve">2 </w:t>
      </w:r>
    </w:p>
    <w:p w14:paraId="3BFF2EE8" w14:textId="5061EA23" w:rsidR="00D46F70" w:rsidRPr="00DF0EDA" w:rsidRDefault="00D46F70" w:rsidP="00DF0EDA">
      <w:pPr>
        <w:autoSpaceDE w:val="0"/>
        <w:autoSpaceDN w:val="0"/>
        <w:adjustRightInd w:val="0"/>
        <w:jc w:val="right"/>
        <w:rPr>
          <w:rFonts w:eastAsia="Calibri"/>
          <w:bCs/>
          <w:iCs/>
          <w:sz w:val="23"/>
          <w:szCs w:val="23"/>
        </w:rPr>
      </w:pPr>
      <w:r w:rsidRPr="00DF0EDA">
        <w:rPr>
          <w:rFonts w:eastAsia="Calibri"/>
          <w:bCs/>
          <w:iCs/>
          <w:sz w:val="23"/>
          <w:szCs w:val="23"/>
        </w:rPr>
        <w:t>до Договору про постачання</w:t>
      </w:r>
      <w:r w:rsidR="00DF0EDA" w:rsidRPr="00DF0EDA">
        <w:rPr>
          <w:rFonts w:eastAsia="Calibri"/>
          <w:bCs/>
          <w:iCs/>
          <w:sz w:val="23"/>
          <w:szCs w:val="23"/>
          <w:lang w:val="ru-RU"/>
        </w:rPr>
        <w:t xml:space="preserve"> </w:t>
      </w:r>
      <w:r w:rsidRPr="00DF0EDA">
        <w:rPr>
          <w:rFonts w:eastAsia="Calibri"/>
          <w:bCs/>
          <w:iCs/>
          <w:sz w:val="23"/>
          <w:szCs w:val="23"/>
        </w:rPr>
        <w:t xml:space="preserve">електричної енергії споживачу </w:t>
      </w:r>
    </w:p>
    <w:p w14:paraId="47B75ADD" w14:textId="4DE99C77" w:rsidR="00D46F70" w:rsidRPr="00DF0EDA" w:rsidRDefault="00D46F70" w:rsidP="00D46F70">
      <w:pPr>
        <w:autoSpaceDE w:val="0"/>
        <w:autoSpaceDN w:val="0"/>
        <w:adjustRightInd w:val="0"/>
        <w:jc w:val="right"/>
        <w:rPr>
          <w:rFonts w:eastAsia="Calibri"/>
          <w:bCs/>
          <w:iCs/>
          <w:sz w:val="23"/>
          <w:szCs w:val="23"/>
        </w:rPr>
      </w:pPr>
      <w:r w:rsidRPr="00DF0EDA">
        <w:rPr>
          <w:rFonts w:eastAsia="Calibri"/>
          <w:bCs/>
          <w:iCs/>
          <w:sz w:val="23"/>
          <w:szCs w:val="23"/>
        </w:rPr>
        <w:t>№</w:t>
      </w:r>
      <w:r w:rsidR="00124DDE" w:rsidRPr="00DF0EDA">
        <w:rPr>
          <w:rFonts w:eastAsia="Calibri"/>
          <w:bCs/>
          <w:iCs/>
          <w:sz w:val="23"/>
          <w:szCs w:val="23"/>
        </w:rPr>
        <w:t xml:space="preserve"> </w:t>
      </w:r>
      <w:r w:rsidR="00DF0EDA" w:rsidRPr="00DF0EDA">
        <w:rPr>
          <w:rFonts w:eastAsia="Calibri"/>
          <w:bCs/>
          <w:iCs/>
          <w:sz w:val="23"/>
          <w:szCs w:val="23"/>
          <w:lang w:val="ru-RU"/>
        </w:rPr>
        <w:t>______________</w:t>
      </w:r>
      <w:r w:rsidRPr="00DF0EDA">
        <w:rPr>
          <w:rFonts w:eastAsia="Calibri"/>
          <w:bCs/>
          <w:iCs/>
          <w:sz w:val="23"/>
          <w:szCs w:val="23"/>
        </w:rPr>
        <w:t xml:space="preserve"> від</w:t>
      </w:r>
      <w:r w:rsidR="00124DDE" w:rsidRPr="00DF0EDA">
        <w:rPr>
          <w:rFonts w:eastAsia="Calibri"/>
          <w:bCs/>
          <w:iCs/>
          <w:sz w:val="23"/>
          <w:szCs w:val="23"/>
        </w:rPr>
        <w:t xml:space="preserve"> </w:t>
      </w:r>
      <w:r w:rsidR="00DF0EDA" w:rsidRPr="00DF0EDA">
        <w:rPr>
          <w:rFonts w:eastAsia="Calibri"/>
          <w:bCs/>
          <w:iCs/>
          <w:sz w:val="23"/>
          <w:szCs w:val="23"/>
          <w:lang w:val="ru-RU"/>
        </w:rPr>
        <w:t>_______________</w:t>
      </w:r>
      <w:r w:rsidR="00124DDE" w:rsidRPr="00DF0EDA">
        <w:rPr>
          <w:rFonts w:eastAsia="Calibri"/>
          <w:bCs/>
          <w:iCs/>
          <w:sz w:val="23"/>
          <w:szCs w:val="23"/>
        </w:rPr>
        <w:t xml:space="preserve"> </w:t>
      </w:r>
      <w:r w:rsidRPr="00DF0EDA">
        <w:rPr>
          <w:rFonts w:eastAsia="Calibri"/>
          <w:bCs/>
          <w:iCs/>
          <w:sz w:val="23"/>
          <w:szCs w:val="23"/>
        </w:rPr>
        <w:t>року</w:t>
      </w:r>
    </w:p>
    <w:p w14:paraId="6025AF4B" w14:textId="77777777" w:rsidR="003704FC" w:rsidRPr="0002767B" w:rsidRDefault="003704FC" w:rsidP="00D46F70">
      <w:pPr>
        <w:autoSpaceDE w:val="0"/>
        <w:autoSpaceDN w:val="0"/>
        <w:adjustRightInd w:val="0"/>
        <w:jc w:val="right"/>
        <w:rPr>
          <w:rFonts w:eastAsia="Calibri"/>
          <w:b/>
          <w:i/>
          <w:sz w:val="23"/>
          <w:szCs w:val="23"/>
        </w:rPr>
      </w:pPr>
    </w:p>
    <w:tbl>
      <w:tblPr>
        <w:tblStyle w:val="a6"/>
        <w:tblpPr w:leftFromText="180" w:rightFromText="180" w:vertAnchor="text" w:horzAnchor="margin" w:tblpY="107"/>
        <w:tblW w:w="10529" w:type="dxa"/>
        <w:tblLook w:val="04A0" w:firstRow="1" w:lastRow="0" w:firstColumn="1" w:lastColumn="0" w:noHBand="0" w:noVBand="1"/>
      </w:tblPr>
      <w:tblGrid>
        <w:gridCol w:w="2071"/>
        <w:gridCol w:w="8458"/>
      </w:tblGrid>
      <w:tr w:rsidR="003704FC" w14:paraId="3FC42C37" w14:textId="77777777" w:rsidTr="00DF0EDA">
        <w:trPr>
          <w:trHeight w:val="621"/>
        </w:trPr>
        <w:tc>
          <w:tcPr>
            <w:tcW w:w="2071" w:type="dxa"/>
          </w:tcPr>
          <w:p w14:paraId="20C2B660" w14:textId="77777777" w:rsidR="003704FC" w:rsidRPr="003704FC" w:rsidRDefault="003704FC" w:rsidP="003704FC">
            <w:pPr>
              <w:rPr>
                <w:rFonts w:eastAsia="Calibri"/>
                <w:b/>
                <w:i/>
                <w:sz w:val="23"/>
                <w:szCs w:val="23"/>
              </w:rPr>
            </w:pPr>
            <w:r w:rsidRPr="003704FC">
              <w:rPr>
                <w:b/>
              </w:rPr>
              <w:t>Постачальник</w:t>
            </w:r>
          </w:p>
        </w:tc>
        <w:tc>
          <w:tcPr>
            <w:tcW w:w="8458" w:type="dxa"/>
          </w:tcPr>
          <w:p w14:paraId="68DB4A74" w14:textId="77777777" w:rsidR="003704FC" w:rsidRPr="003704FC" w:rsidRDefault="003704FC" w:rsidP="003704FC">
            <w:pPr>
              <w:jc w:val="center"/>
              <w:rPr>
                <w:rFonts w:eastAsia="Calibri"/>
                <w:i/>
                <w:sz w:val="23"/>
                <w:szCs w:val="23"/>
              </w:rPr>
            </w:pPr>
            <w:r w:rsidRPr="003704FC">
              <w:t>ТОВАРИСТВО З ОБМЕЖЕНОЮ ВІДПОВІДАЛЬНІСТЮ «ОПЕРАТОР ЕНЕРГІЇ» (код ЄДРПОУ 43418783)</w:t>
            </w:r>
          </w:p>
        </w:tc>
      </w:tr>
      <w:tr w:rsidR="003704FC" w14:paraId="38F27007" w14:textId="77777777" w:rsidTr="00DF0EDA">
        <w:trPr>
          <w:trHeight w:val="604"/>
        </w:trPr>
        <w:tc>
          <w:tcPr>
            <w:tcW w:w="2071" w:type="dxa"/>
          </w:tcPr>
          <w:p w14:paraId="63E11F48" w14:textId="77777777" w:rsidR="003704FC" w:rsidRPr="003704FC" w:rsidRDefault="003704FC" w:rsidP="003704FC">
            <w:pPr>
              <w:rPr>
                <w:rFonts w:eastAsia="Calibri"/>
                <w:b/>
                <w:i/>
                <w:sz w:val="23"/>
                <w:szCs w:val="23"/>
              </w:rPr>
            </w:pPr>
            <w:r w:rsidRPr="003704FC">
              <w:rPr>
                <w:b/>
              </w:rPr>
              <w:t>Споживач</w:t>
            </w:r>
          </w:p>
        </w:tc>
        <w:tc>
          <w:tcPr>
            <w:tcW w:w="8458" w:type="dxa"/>
          </w:tcPr>
          <w:p w14:paraId="4E79FD2C" w14:textId="77777777" w:rsidR="003704FC" w:rsidRPr="003704FC" w:rsidRDefault="003704FC" w:rsidP="003704FC">
            <w:pPr>
              <w:jc w:val="center"/>
              <w:rPr>
                <w:rFonts w:eastAsia="Calibri"/>
                <w:i/>
                <w:sz w:val="23"/>
                <w:szCs w:val="23"/>
              </w:rPr>
            </w:pPr>
            <w:r w:rsidRPr="003704FC">
              <w:rPr>
                <w:rFonts w:eastAsia="Calibri"/>
                <w:i/>
                <w:sz w:val="23"/>
                <w:szCs w:val="23"/>
              </w:rPr>
              <w:t>Особа, яка приєднується до умов даної Комерційної пропозиції, відповідно до положень ст. 634 Цивільного кодексу України</w:t>
            </w:r>
          </w:p>
        </w:tc>
      </w:tr>
    </w:tbl>
    <w:p w14:paraId="03FC3A91" w14:textId="77777777" w:rsidR="00DF0EDA" w:rsidRDefault="00DF0EDA" w:rsidP="00DF0EDA">
      <w:pPr>
        <w:autoSpaceDE w:val="0"/>
        <w:autoSpaceDN w:val="0"/>
        <w:adjustRightInd w:val="0"/>
        <w:rPr>
          <w:rFonts w:eastAsia="Calibri"/>
          <w:b/>
          <w:bCs/>
          <w:sz w:val="23"/>
          <w:szCs w:val="23"/>
        </w:rPr>
      </w:pPr>
    </w:p>
    <w:p w14:paraId="436FB299" w14:textId="628B4AC4" w:rsidR="006B16B8" w:rsidRPr="000F65BF" w:rsidRDefault="006B16B8" w:rsidP="006B16B8">
      <w:pPr>
        <w:autoSpaceDE w:val="0"/>
        <w:autoSpaceDN w:val="0"/>
        <w:adjustRightInd w:val="0"/>
        <w:jc w:val="center"/>
        <w:rPr>
          <w:rFonts w:eastAsia="Calibri"/>
          <w:b/>
          <w:bCs/>
          <w:sz w:val="23"/>
          <w:szCs w:val="23"/>
        </w:rPr>
      </w:pPr>
      <w:r w:rsidRPr="000F65BF">
        <w:rPr>
          <w:rFonts w:eastAsia="Calibri"/>
          <w:b/>
          <w:bCs/>
          <w:sz w:val="23"/>
          <w:szCs w:val="23"/>
        </w:rPr>
        <w:t>Комерційна пропозиція</w:t>
      </w:r>
      <w:r w:rsidR="003704FC" w:rsidRPr="000F65BF">
        <w:rPr>
          <w:rFonts w:eastAsia="Calibri"/>
          <w:b/>
          <w:bCs/>
          <w:sz w:val="23"/>
          <w:szCs w:val="23"/>
        </w:rPr>
        <w:t xml:space="preserve"> «ПУБЛІЧНА»</w:t>
      </w:r>
    </w:p>
    <w:p w14:paraId="2F23831B" w14:textId="77777777" w:rsidR="003704FC" w:rsidRPr="000F65BF" w:rsidRDefault="003704FC" w:rsidP="006B16B8">
      <w:pPr>
        <w:autoSpaceDE w:val="0"/>
        <w:autoSpaceDN w:val="0"/>
        <w:adjustRightInd w:val="0"/>
        <w:jc w:val="center"/>
        <w:rPr>
          <w:rFonts w:eastAsia="Calibri"/>
          <w:bCs/>
          <w:sz w:val="23"/>
          <w:szCs w:val="23"/>
        </w:rPr>
      </w:pPr>
      <w:r w:rsidRPr="000F65BF">
        <w:rPr>
          <w:rFonts w:eastAsia="Calibri"/>
          <w:bCs/>
          <w:sz w:val="23"/>
          <w:szCs w:val="23"/>
        </w:rPr>
        <w:t>до Договору про постачання електричної енергії Споживачу</w:t>
      </w:r>
    </w:p>
    <w:p w14:paraId="00696F64" w14:textId="77777777" w:rsidR="003704FC" w:rsidRPr="000F65BF" w:rsidRDefault="003704FC" w:rsidP="007F7223">
      <w:pPr>
        <w:jc w:val="both"/>
        <w:rPr>
          <w:b/>
          <w:i/>
          <w:sz w:val="23"/>
          <w:szCs w:val="23"/>
        </w:rPr>
      </w:pPr>
    </w:p>
    <w:p w14:paraId="67E2F4DD" w14:textId="77777777" w:rsidR="007F7223" w:rsidRPr="000F65BF" w:rsidRDefault="007F7223" w:rsidP="007F7223">
      <w:pPr>
        <w:jc w:val="both"/>
        <w:rPr>
          <w:sz w:val="23"/>
          <w:szCs w:val="23"/>
        </w:rPr>
      </w:pPr>
      <w:r w:rsidRPr="000F65BF">
        <w:rPr>
          <w:b/>
          <w:i/>
          <w:sz w:val="23"/>
          <w:szCs w:val="23"/>
        </w:rPr>
        <w:t>Предмет комерційної пропозиції:</w:t>
      </w:r>
      <w:r w:rsidRPr="000F65BF">
        <w:rPr>
          <w:sz w:val="23"/>
          <w:szCs w:val="23"/>
        </w:rPr>
        <w:t xml:space="preserve"> </w:t>
      </w:r>
      <w:r w:rsidR="003704FC" w:rsidRPr="000F65BF">
        <w:rPr>
          <w:sz w:val="23"/>
          <w:szCs w:val="23"/>
        </w:rPr>
        <w:t>п</w:t>
      </w:r>
      <w:r w:rsidRPr="000F65BF">
        <w:rPr>
          <w:sz w:val="23"/>
          <w:szCs w:val="23"/>
        </w:rPr>
        <w:t xml:space="preserve">остачання електричної енергії споживачу як товарної продукції. </w:t>
      </w:r>
    </w:p>
    <w:p w14:paraId="08D8C291" w14:textId="77777777" w:rsidR="00D47FFE" w:rsidRDefault="00D47FFE" w:rsidP="00D47FFE">
      <w:pPr>
        <w:autoSpaceDE w:val="0"/>
        <w:autoSpaceDN w:val="0"/>
        <w:adjustRightInd w:val="0"/>
        <w:rPr>
          <w:rFonts w:eastAsia="Calibri"/>
          <w:b/>
          <w:bCs/>
          <w:sz w:val="23"/>
          <w:szCs w:val="23"/>
        </w:rPr>
      </w:pPr>
    </w:p>
    <w:p w14:paraId="17D6A9E3" w14:textId="77777777" w:rsidR="00B15613" w:rsidRPr="000F65BF" w:rsidRDefault="00B15613" w:rsidP="00B15613">
      <w:pPr>
        <w:pStyle w:val="Default"/>
        <w:jc w:val="both"/>
        <w:rPr>
          <w:sz w:val="23"/>
          <w:szCs w:val="23"/>
          <w:lang w:val="uk-UA" w:eastAsia="uk-UA"/>
        </w:rPr>
      </w:pPr>
      <w:r w:rsidRPr="000F65BF">
        <w:rPr>
          <w:b/>
          <w:sz w:val="23"/>
          <w:szCs w:val="23"/>
          <w:lang w:val="uk-UA" w:eastAsia="uk-UA"/>
        </w:rPr>
        <w:t>1.</w:t>
      </w:r>
      <w:r w:rsidRPr="000F65BF">
        <w:rPr>
          <w:sz w:val="23"/>
          <w:szCs w:val="23"/>
          <w:lang w:val="uk-UA" w:eastAsia="uk-UA"/>
        </w:rPr>
        <w:tab/>
        <w:t>Ціна на електричну енергію (грн за 1 кВт*год, без ПДВ) для розрахункового періоду.</w:t>
      </w:r>
    </w:p>
    <w:p w14:paraId="214029AE" w14:textId="77777777" w:rsidR="00B15613" w:rsidRPr="000F65BF" w:rsidRDefault="00B15613" w:rsidP="00B15613">
      <w:pPr>
        <w:pStyle w:val="Default"/>
        <w:jc w:val="both"/>
        <w:rPr>
          <w:sz w:val="23"/>
          <w:szCs w:val="23"/>
          <w:lang w:val="uk-UA" w:eastAsia="uk-UA"/>
        </w:rPr>
      </w:pPr>
    </w:p>
    <w:p w14:paraId="358BC53D" w14:textId="77777777" w:rsidR="00B15613" w:rsidRPr="000F65BF" w:rsidRDefault="00F60593" w:rsidP="00B15613">
      <w:pPr>
        <w:pStyle w:val="Default"/>
        <w:jc w:val="both"/>
        <w:rPr>
          <w:sz w:val="23"/>
          <w:szCs w:val="23"/>
          <w:lang w:val="uk-UA" w:eastAsia="uk-UA"/>
        </w:rPr>
      </w:pPr>
      <w:r>
        <w:rPr>
          <w:b/>
          <w:sz w:val="23"/>
          <w:szCs w:val="23"/>
          <w:lang w:val="uk-UA" w:eastAsia="uk-UA"/>
        </w:rPr>
        <w:t>1</w:t>
      </w:r>
      <w:r w:rsidR="00B15613" w:rsidRPr="000F65BF">
        <w:rPr>
          <w:b/>
          <w:sz w:val="23"/>
          <w:szCs w:val="23"/>
          <w:lang w:val="uk-UA" w:eastAsia="uk-UA"/>
        </w:rPr>
        <w:t>.1.</w:t>
      </w:r>
      <w:r w:rsidR="00B15613" w:rsidRPr="000F65BF">
        <w:rPr>
          <w:sz w:val="23"/>
          <w:szCs w:val="23"/>
          <w:lang w:val="uk-UA" w:eastAsia="uk-UA"/>
        </w:rPr>
        <w:tab/>
        <w:t>З дати початку дії нового ринку електричної енергії.</w:t>
      </w:r>
    </w:p>
    <w:p w14:paraId="4E1A8482" w14:textId="1AC52B54" w:rsidR="00B15613" w:rsidRPr="000F65BF" w:rsidRDefault="00B15613" w:rsidP="00B15613">
      <w:pPr>
        <w:pStyle w:val="Default"/>
        <w:jc w:val="both"/>
        <w:rPr>
          <w:sz w:val="23"/>
          <w:szCs w:val="23"/>
          <w:lang w:val="uk-UA" w:eastAsia="uk-UA"/>
        </w:rPr>
      </w:pPr>
      <w:r w:rsidRPr="000F65BF">
        <w:rPr>
          <w:sz w:val="23"/>
          <w:szCs w:val="23"/>
          <w:lang w:val="uk-UA" w:eastAsia="uk-UA"/>
        </w:rPr>
        <w:t>До ціни (</w:t>
      </w:r>
      <w:bookmarkStart w:id="0" w:name="_Hlk34897203"/>
      <w:r w:rsidR="00F90B8D">
        <w:rPr>
          <w:b/>
          <w:bCs/>
          <w:sz w:val="23"/>
          <w:szCs w:val="23"/>
          <w:lang w:val="uk-UA" w:eastAsia="uk-UA"/>
        </w:rPr>
        <w:t>ВАРТ</w:t>
      </w:r>
      <w:r w:rsidR="00F90B8D">
        <w:rPr>
          <w:b/>
          <w:bCs/>
          <w:sz w:val="16"/>
          <w:szCs w:val="16"/>
          <w:lang w:val="uk-UA" w:eastAsia="uk-UA"/>
        </w:rPr>
        <w:t>ЗАГ</w:t>
      </w:r>
      <w:bookmarkEnd w:id="0"/>
      <w:r w:rsidRPr="000F65BF">
        <w:rPr>
          <w:sz w:val="23"/>
          <w:szCs w:val="23"/>
          <w:lang w:val="uk-UA" w:eastAsia="uk-UA"/>
        </w:rPr>
        <w:t>) включаються всі витрати Постачальника, і вона складається із таких компонентів:</w:t>
      </w:r>
    </w:p>
    <w:p w14:paraId="6A5A56C6" w14:textId="6F1FA113" w:rsidR="00B15613" w:rsidRPr="000F65BF" w:rsidRDefault="00F90B8D" w:rsidP="00B15613">
      <w:pPr>
        <w:pStyle w:val="Default"/>
        <w:jc w:val="center"/>
        <w:rPr>
          <w:sz w:val="23"/>
          <w:szCs w:val="23"/>
          <w:lang w:val="uk-UA" w:eastAsia="uk-UA"/>
        </w:rPr>
      </w:pPr>
      <w:bookmarkStart w:id="1" w:name="_Hlk34897506"/>
      <w:r>
        <w:rPr>
          <w:b/>
          <w:bCs/>
          <w:sz w:val="23"/>
          <w:szCs w:val="23"/>
          <w:lang w:val="uk-UA" w:eastAsia="uk-UA"/>
        </w:rPr>
        <w:t>ВАРТ</w:t>
      </w:r>
      <w:r>
        <w:rPr>
          <w:b/>
          <w:bCs/>
          <w:sz w:val="16"/>
          <w:szCs w:val="16"/>
          <w:lang w:val="uk-UA" w:eastAsia="uk-UA"/>
        </w:rPr>
        <w:t>ЗАГ</w:t>
      </w:r>
      <w:bookmarkEnd w:id="1"/>
      <w:r w:rsidR="00B15613" w:rsidRPr="000F65BF">
        <w:rPr>
          <w:b/>
          <w:sz w:val="23"/>
          <w:szCs w:val="23"/>
          <w:lang w:val="uk-UA" w:eastAsia="uk-UA"/>
        </w:rPr>
        <w:t xml:space="preserve">= </w:t>
      </w:r>
      <w:bookmarkStart w:id="2" w:name="_Hlk34897715"/>
      <w:r>
        <w:rPr>
          <w:b/>
          <w:bCs/>
          <w:sz w:val="23"/>
          <w:szCs w:val="23"/>
          <w:lang w:val="uk-UA" w:eastAsia="uk-UA"/>
        </w:rPr>
        <w:t>ВАРТ</w:t>
      </w:r>
      <w:r>
        <w:rPr>
          <w:b/>
          <w:bCs/>
          <w:sz w:val="16"/>
          <w:szCs w:val="16"/>
          <w:lang w:val="uk-UA" w:eastAsia="uk-UA"/>
        </w:rPr>
        <w:t>ЗАК</w:t>
      </w:r>
      <w:bookmarkEnd w:id="2"/>
      <w:r w:rsidR="008054D6">
        <w:rPr>
          <w:b/>
          <w:sz w:val="23"/>
          <w:szCs w:val="23"/>
          <w:lang w:val="uk-UA" w:eastAsia="uk-UA"/>
        </w:rPr>
        <w:t xml:space="preserve"> </w:t>
      </w:r>
      <w:r w:rsidR="00B15613" w:rsidRPr="000F65BF">
        <w:rPr>
          <w:b/>
          <w:sz w:val="23"/>
          <w:szCs w:val="23"/>
          <w:lang w:val="uk-UA" w:eastAsia="uk-UA"/>
        </w:rPr>
        <w:t>+ Р</w:t>
      </w:r>
      <w:r w:rsidR="00F16136" w:rsidRPr="000F65BF">
        <w:rPr>
          <w:b/>
          <w:sz w:val="23"/>
          <w:szCs w:val="23"/>
          <w:lang w:val="uk-UA" w:eastAsia="uk-UA"/>
        </w:rPr>
        <w:t>*</w:t>
      </w:r>
      <w:r w:rsidR="00B15613" w:rsidRPr="000F65BF">
        <w:rPr>
          <w:b/>
          <w:sz w:val="23"/>
          <w:szCs w:val="23"/>
          <w:lang w:val="uk-UA" w:eastAsia="uk-UA"/>
        </w:rPr>
        <w:t xml:space="preserve"> + Т + Цп</w:t>
      </w:r>
      <w:r w:rsidR="00B15613" w:rsidRPr="000F65BF">
        <w:rPr>
          <w:sz w:val="23"/>
          <w:szCs w:val="23"/>
          <w:lang w:val="uk-UA" w:eastAsia="uk-UA"/>
        </w:rPr>
        <w:t>, де:</w:t>
      </w:r>
    </w:p>
    <w:p w14:paraId="4DBD7C1F" w14:textId="69EF28FE" w:rsidR="00F90B8D" w:rsidRPr="00773559" w:rsidRDefault="00773559" w:rsidP="00B15613">
      <w:pPr>
        <w:pStyle w:val="Default"/>
        <w:jc w:val="both"/>
        <w:rPr>
          <w:b/>
          <w:bCs/>
          <w:sz w:val="23"/>
          <w:szCs w:val="23"/>
          <w:lang w:val="uk-UA" w:eastAsia="uk-UA"/>
        </w:rPr>
      </w:pPr>
      <w:r>
        <w:rPr>
          <w:b/>
          <w:bCs/>
          <w:sz w:val="23"/>
          <w:szCs w:val="23"/>
          <w:lang w:val="uk-UA" w:eastAsia="uk-UA"/>
        </w:rPr>
        <w:t>ВАРТ</w:t>
      </w:r>
      <w:r>
        <w:rPr>
          <w:b/>
          <w:bCs/>
          <w:sz w:val="16"/>
          <w:szCs w:val="16"/>
          <w:lang w:val="uk-UA" w:eastAsia="uk-UA"/>
        </w:rPr>
        <w:t xml:space="preserve">ЗАГ – </w:t>
      </w:r>
      <w:r w:rsidRPr="00773559">
        <w:rPr>
          <w:sz w:val="23"/>
          <w:szCs w:val="23"/>
          <w:lang w:val="uk-UA" w:eastAsia="uk-UA"/>
        </w:rPr>
        <w:t>ціна за 1 кВт*год, у відповідному розрахунковому періоді, з ПДВ та без урахування тарифу на послуги з розподілу.</w:t>
      </w:r>
    </w:p>
    <w:p w14:paraId="2BAE2A37" w14:textId="61C956E3" w:rsidR="00B15613" w:rsidRPr="00B15613" w:rsidRDefault="00F90B8D" w:rsidP="00773559">
      <w:pPr>
        <w:pStyle w:val="Default"/>
        <w:jc w:val="both"/>
        <w:rPr>
          <w:sz w:val="23"/>
          <w:szCs w:val="23"/>
          <w:lang w:val="uk-UA" w:eastAsia="uk-UA"/>
        </w:rPr>
      </w:pPr>
      <w:bookmarkStart w:id="3" w:name="_Hlk34898711"/>
      <w:r>
        <w:rPr>
          <w:b/>
          <w:bCs/>
          <w:sz w:val="23"/>
          <w:szCs w:val="23"/>
          <w:lang w:val="uk-UA" w:eastAsia="uk-UA"/>
        </w:rPr>
        <w:t>ВАРТ</w:t>
      </w:r>
      <w:r>
        <w:rPr>
          <w:b/>
          <w:bCs/>
          <w:sz w:val="16"/>
          <w:szCs w:val="16"/>
          <w:lang w:val="uk-UA" w:eastAsia="uk-UA"/>
        </w:rPr>
        <w:t>ЗАК</w:t>
      </w:r>
      <w:bookmarkEnd w:id="3"/>
      <w:r w:rsidR="00B15613" w:rsidRPr="000F65BF">
        <w:rPr>
          <w:sz w:val="23"/>
          <w:szCs w:val="23"/>
          <w:lang w:val="uk-UA" w:eastAsia="uk-UA"/>
        </w:rPr>
        <w:t xml:space="preserve"> – </w:t>
      </w:r>
      <w:r w:rsidR="00773559">
        <w:rPr>
          <w:sz w:val="23"/>
          <w:szCs w:val="23"/>
          <w:lang w:val="uk-UA" w:eastAsia="uk-UA"/>
        </w:rPr>
        <w:t>фактична закупівельна ціна електричної енергії для споживача на ринку на добу наперед, та/або Внутрішньодобовому ринку, та/або двосторонніх договорів з урахуванням податків, зборів та платежів, що передбачені чинним законо</w:t>
      </w:r>
      <w:r w:rsidR="000715B0">
        <w:rPr>
          <w:sz w:val="23"/>
          <w:szCs w:val="23"/>
          <w:lang w:val="uk-UA" w:eastAsia="uk-UA"/>
        </w:rPr>
        <w:t>давством України та які Постачальник сплачує при закупівлі електричної енергії.</w:t>
      </w:r>
    </w:p>
    <w:p w14:paraId="5396460A" w14:textId="5D99BEE2" w:rsidR="00B15613" w:rsidRPr="00B15613" w:rsidRDefault="00B15613" w:rsidP="00B15613">
      <w:pPr>
        <w:pStyle w:val="Default"/>
        <w:jc w:val="both"/>
        <w:rPr>
          <w:sz w:val="23"/>
          <w:szCs w:val="23"/>
          <w:lang w:val="uk-UA" w:eastAsia="uk-UA"/>
        </w:rPr>
      </w:pPr>
      <w:r w:rsidRPr="00B15613">
        <w:rPr>
          <w:sz w:val="23"/>
          <w:szCs w:val="23"/>
          <w:lang w:val="uk-UA" w:eastAsia="uk-UA"/>
        </w:rPr>
        <w:t>При цьому за результатами минулих розрахункових періодів, враховуючи відхилення прогнозних від фактичних значень щодо ціни та обсягів споживання, Постачальник має право врахування (коригування) виниклої різниці при розрахунку ціни закупівлі.</w:t>
      </w:r>
    </w:p>
    <w:p w14:paraId="4709C11A" w14:textId="77777777" w:rsidR="00B15613" w:rsidRPr="00B15613" w:rsidRDefault="00B15613" w:rsidP="00B15613">
      <w:pPr>
        <w:pStyle w:val="Default"/>
        <w:jc w:val="both"/>
        <w:rPr>
          <w:sz w:val="23"/>
          <w:szCs w:val="23"/>
          <w:lang w:val="uk-UA" w:eastAsia="uk-UA"/>
        </w:rPr>
      </w:pPr>
    </w:p>
    <w:p w14:paraId="5C41E99F" w14:textId="048A4320" w:rsidR="00B15613" w:rsidRPr="00B15613" w:rsidRDefault="00B15613" w:rsidP="00B15613">
      <w:pPr>
        <w:pStyle w:val="Default"/>
        <w:jc w:val="both"/>
        <w:rPr>
          <w:sz w:val="23"/>
          <w:szCs w:val="23"/>
          <w:lang w:val="uk-UA" w:eastAsia="uk-UA"/>
        </w:rPr>
      </w:pPr>
      <w:r w:rsidRPr="005F30B0">
        <w:rPr>
          <w:b/>
          <w:sz w:val="23"/>
          <w:szCs w:val="23"/>
          <w:lang w:val="uk-UA" w:eastAsia="uk-UA"/>
        </w:rPr>
        <w:t>Р</w:t>
      </w:r>
      <w:r w:rsidR="00F16136" w:rsidRPr="005F30B0">
        <w:rPr>
          <w:b/>
          <w:sz w:val="23"/>
          <w:szCs w:val="23"/>
          <w:lang w:val="uk-UA" w:eastAsia="uk-UA"/>
        </w:rPr>
        <w:t>*</w:t>
      </w:r>
      <w:r w:rsidRPr="00B15613">
        <w:rPr>
          <w:sz w:val="23"/>
          <w:szCs w:val="23"/>
          <w:lang w:val="uk-UA" w:eastAsia="uk-UA"/>
        </w:rPr>
        <w:t xml:space="preserve"> – ціна (тариф) послуг оператора системи розподілу (ціна регульованих послуг), грн/кВт*год</w:t>
      </w:r>
      <w:r w:rsidR="00F16136">
        <w:rPr>
          <w:sz w:val="23"/>
          <w:szCs w:val="23"/>
          <w:lang w:val="uk-UA" w:eastAsia="uk-UA"/>
        </w:rPr>
        <w:t xml:space="preserve">, за умови, якщо таку </w:t>
      </w:r>
      <w:r w:rsidR="005F30B0">
        <w:rPr>
          <w:sz w:val="23"/>
          <w:szCs w:val="23"/>
          <w:lang w:val="uk-UA" w:eastAsia="uk-UA"/>
        </w:rPr>
        <w:t>складову включено до договору зі Споживачем</w:t>
      </w:r>
      <w:r w:rsidRPr="00B15613">
        <w:rPr>
          <w:sz w:val="23"/>
          <w:szCs w:val="23"/>
          <w:lang w:val="uk-UA" w:eastAsia="uk-UA"/>
        </w:rPr>
        <w:t>;</w:t>
      </w:r>
    </w:p>
    <w:p w14:paraId="67AC572B" w14:textId="77777777" w:rsidR="00B15613" w:rsidRPr="00B15613" w:rsidRDefault="00B15613" w:rsidP="00B15613">
      <w:pPr>
        <w:pStyle w:val="Default"/>
        <w:jc w:val="both"/>
        <w:rPr>
          <w:sz w:val="23"/>
          <w:szCs w:val="23"/>
          <w:lang w:val="uk-UA" w:eastAsia="uk-UA"/>
        </w:rPr>
      </w:pPr>
    </w:p>
    <w:p w14:paraId="599907BA" w14:textId="77777777" w:rsidR="00B15613" w:rsidRPr="00B15613" w:rsidRDefault="00B15613" w:rsidP="00B15613">
      <w:pPr>
        <w:pStyle w:val="Default"/>
        <w:jc w:val="both"/>
        <w:rPr>
          <w:sz w:val="23"/>
          <w:szCs w:val="23"/>
          <w:lang w:val="uk-UA" w:eastAsia="uk-UA"/>
        </w:rPr>
      </w:pPr>
      <w:r w:rsidRPr="005F30B0">
        <w:rPr>
          <w:b/>
          <w:sz w:val="23"/>
          <w:szCs w:val="23"/>
          <w:lang w:val="uk-UA" w:eastAsia="uk-UA"/>
        </w:rPr>
        <w:t>Т</w:t>
      </w:r>
      <w:r w:rsidRPr="00B15613">
        <w:rPr>
          <w:sz w:val="23"/>
          <w:szCs w:val="23"/>
          <w:lang w:val="uk-UA" w:eastAsia="uk-UA"/>
        </w:rPr>
        <w:t xml:space="preserve"> – ціна (тариф) послуг оператора системи передачі (ціна регульованих послуг), грн/кВт*год;</w:t>
      </w:r>
    </w:p>
    <w:p w14:paraId="5ECA551E" w14:textId="77777777" w:rsidR="00B15613" w:rsidRPr="00B15613" w:rsidRDefault="00B15613" w:rsidP="00B15613">
      <w:pPr>
        <w:pStyle w:val="Default"/>
        <w:jc w:val="both"/>
        <w:rPr>
          <w:sz w:val="23"/>
          <w:szCs w:val="23"/>
          <w:lang w:val="uk-UA" w:eastAsia="uk-UA"/>
        </w:rPr>
      </w:pPr>
    </w:p>
    <w:p w14:paraId="133044FB" w14:textId="24A0A867" w:rsidR="00B15613" w:rsidRPr="00B15613" w:rsidRDefault="00B15613" w:rsidP="00B15613">
      <w:pPr>
        <w:pStyle w:val="Default"/>
        <w:jc w:val="both"/>
        <w:rPr>
          <w:sz w:val="23"/>
          <w:szCs w:val="23"/>
          <w:lang w:val="uk-UA" w:eastAsia="uk-UA"/>
        </w:rPr>
      </w:pPr>
      <w:r w:rsidRPr="005F30B0">
        <w:rPr>
          <w:b/>
          <w:sz w:val="23"/>
          <w:szCs w:val="23"/>
          <w:lang w:val="uk-UA" w:eastAsia="uk-UA"/>
        </w:rPr>
        <w:t>Цп</w:t>
      </w:r>
      <w:r w:rsidRPr="00B15613">
        <w:rPr>
          <w:sz w:val="23"/>
          <w:szCs w:val="23"/>
          <w:lang w:val="uk-UA" w:eastAsia="uk-UA"/>
        </w:rPr>
        <w:t xml:space="preserve"> – ціна додаткових послуг, пов’язаних з постачанням електричної енергії споживачу і складає</w:t>
      </w:r>
      <w:r w:rsidR="000F65BF">
        <w:rPr>
          <w:sz w:val="23"/>
          <w:szCs w:val="23"/>
          <w:lang w:val="uk-UA" w:eastAsia="uk-UA"/>
        </w:rPr>
        <w:t xml:space="preserve"> </w:t>
      </w:r>
      <w:r w:rsidR="00E752FE">
        <w:rPr>
          <w:sz w:val="23"/>
          <w:szCs w:val="23"/>
          <w:lang w:val="uk-UA" w:eastAsia="uk-UA"/>
        </w:rPr>
        <w:t>-</w:t>
      </w:r>
      <w:r w:rsidRPr="00B15613">
        <w:rPr>
          <w:sz w:val="23"/>
          <w:szCs w:val="23"/>
          <w:lang w:val="uk-UA" w:eastAsia="uk-UA"/>
        </w:rPr>
        <w:t xml:space="preserve"> грн/кВт*год.</w:t>
      </w:r>
    </w:p>
    <w:p w14:paraId="3DD305EF" w14:textId="77777777" w:rsidR="00B15613" w:rsidRPr="00B15613" w:rsidRDefault="00B15613" w:rsidP="00B15613">
      <w:pPr>
        <w:pStyle w:val="Default"/>
        <w:jc w:val="both"/>
        <w:rPr>
          <w:sz w:val="23"/>
          <w:szCs w:val="23"/>
          <w:lang w:val="uk-UA" w:eastAsia="uk-UA"/>
        </w:rPr>
      </w:pPr>
    </w:p>
    <w:p w14:paraId="639776DE" w14:textId="77777777" w:rsidR="00B15613" w:rsidRPr="00B15613" w:rsidRDefault="00B15613" w:rsidP="00B15613">
      <w:pPr>
        <w:pStyle w:val="Default"/>
        <w:jc w:val="both"/>
        <w:rPr>
          <w:sz w:val="23"/>
          <w:szCs w:val="23"/>
          <w:lang w:val="uk-UA" w:eastAsia="uk-UA"/>
        </w:rPr>
      </w:pPr>
      <w:r w:rsidRPr="00B15613">
        <w:rPr>
          <w:sz w:val="23"/>
          <w:szCs w:val="23"/>
          <w:lang w:val="uk-UA" w:eastAsia="uk-UA"/>
        </w:rPr>
        <w:t>Сторони узгодили, що Постачальник має право здійснити коригування ціни електричної енергії для здійснення остаточних розрахунків та змінити ціну на наступний розрахунковий</w:t>
      </w:r>
    </w:p>
    <w:p w14:paraId="624CAE59" w14:textId="32BF525F" w:rsidR="00B15613" w:rsidRPr="00B15613" w:rsidRDefault="00B15613" w:rsidP="00B15613">
      <w:pPr>
        <w:pStyle w:val="Default"/>
        <w:jc w:val="both"/>
        <w:rPr>
          <w:sz w:val="23"/>
          <w:szCs w:val="23"/>
          <w:lang w:val="uk-UA" w:eastAsia="uk-UA"/>
        </w:rPr>
      </w:pPr>
      <w:r w:rsidRPr="00B15613">
        <w:rPr>
          <w:sz w:val="23"/>
          <w:szCs w:val="23"/>
          <w:lang w:val="uk-UA" w:eastAsia="uk-UA"/>
        </w:rPr>
        <w:t xml:space="preserve">період, в разі якщо за оперативними даними між середньозваженими погодинними цінами на ринку «на добу наперед» за площадками групи «а» чи «б», відповідно, в поточному та минулому розрахункових періодах відбулось відхилення. Відповідне відхилення є коливанням ціни на ринку та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Коригування пов’язане зі зміною регульованих компонентів </w:t>
      </w:r>
      <w:r w:rsidR="007A6188">
        <w:rPr>
          <w:b/>
          <w:bCs/>
          <w:sz w:val="23"/>
          <w:szCs w:val="23"/>
          <w:lang w:val="uk-UA" w:eastAsia="uk-UA"/>
        </w:rPr>
        <w:t>ВАРТ</w:t>
      </w:r>
      <w:r w:rsidR="007A6188">
        <w:rPr>
          <w:b/>
          <w:bCs/>
          <w:sz w:val="16"/>
          <w:szCs w:val="16"/>
          <w:lang w:val="uk-UA" w:eastAsia="uk-UA"/>
        </w:rPr>
        <w:t>ЗАК</w:t>
      </w:r>
      <w:r w:rsidRPr="00B15613">
        <w:rPr>
          <w:sz w:val="23"/>
          <w:szCs w:val="23"/>
          <w:lang w:val="uk-UA" w:eastAsia="uk-UA"/>
        </w:rPr>
        <w:t xml:space="preserve"> та/або ціни регульованих послуг (Р</w:t>
      </w:r>
      <w:r w:rsidR="007A6188">
        <w:rPr>
          <w:sz w:val="23"/>
          <w:szCs w:val="23"/>
          <w:lang w:val="uk-UA" w:eastAsia="uk-UA"/>
        </w:rPr>
        <w:t>*</w:t>
      </w:r>
      <w:r w:rsidRPr="00B15613">
        <w:rPr>
          <w:sz w:val="23"/>
          <w:szCs w:val="23"/>
          <w:lang w:val="uk-UA" w:eastAsia="uk-UA"/>
        </w:rPr>
        <w:t>, Т та/або інших, в разі їх встановлення Регулятором), формування яких не залежить від Постачальника, не потребує завчасного повідомлення Споживача.</w:t>
      </w:r>
      <w:r w:rsidR="007A6188">
        <w:rPr>
          <w:sz w:val="23"/>
          <w:szCs w:val="23"/>
          <w:lang w:val="uk-UA" w:eastAsia="uk-UA"/>
        </w:rPr>
        <w:t xml:space="preserve"> </w:t>
      </w:r>
    </w:p>
    <w:p w14:paraId="32C968F2" w14:textId="77777777" w:rsidR="00B15613" w:rsidRPr="00B15613" w:rsidRDefault="00B15613" w:rsidP="00B15613">
      <w:pPr>
        <w:pStyle w:val="Default"/>
        <w:jc w:val="both"/>
        <w:rPr>
          <w:sz w:val="23"/>
          <w:szCs w:val="23"/>
          <w:lang w:val="uk-UA" w:eastAsia="uk-UA"/>
        </w:rPr>
      </w:pPr>
      <w:r w:rsidRPr="00B15613">
        <w:rPr>
          <w:sz w:val="23"/>
          <w:szCs w:val="23"/>
          <w:lang w:val="uk-UA" w:eastAsia="uk-UA"/>
        </w:rPr>
        <w:t>Коригування та зміна цін регульованих послуг здійснюється на різницю відхилення.</w:t>
      </w:r>
    </w:p>
    <w:p w14:paraId="73CBD2DE" w14:textId="4E350359" w:rsidR="00B15613" w:rsidRPr="00B15613" w:rsidRDefault="00B15613" w:rsidP="00B15613">
      <w:pPr>
        <w:pStyle w:val="Default"/>
        <w:jc w:val="both"/>
        <w:rPr>
          <w:sz w:val="23"/>
          <w:szCs w:val="23"/>
          <w:lang w:val="uk-UA" w:eastAsia="uk-UA"/>
        </w:rPr>
      </w:pPr>
      <w:r w:rsidRPr="00B15613">
        <w:rPr>
          <w:sz w:val="23"/>
          <w:szCs w:val="23"/>
          <w:lang w:val="uk-UA" w:eastAsia="uk-UA"/>
        </w:rPr>
        <w:t>Про зміну ціни послуг (Цп) споживач повідомляється завчасно до початку їх застосування.</w:t>
      </w:r>
    </w:p>
    <w:p w14:paraId="6D658F5F" w14:textId="3BD57079" w:rsidR="00B15613" w:rsidRPr="00B15613" w:rsidRDefault="00B15613" w:rsidP="00B15613">
      <w:pPr>
        <w:pStyle w:val="Default"/>
        <w:jc w:val="both"/>
        <w:rPr>
          <w:sz w:val="23"/>
          <w:szCs w:val="23"/>
          <w:lang w:val="uk-UA" w:eastAsia="uk-UA"/>
        </w:rPr>
      </w:pPr>
      <w:r w:rsidRPr="00B15613">
        <w:rPr>
          <w:sz w:val="23"/>
          <w:szCs w:val="23"/>
          <w:lang w:val="uk-UA" w:eastAsia="uk-UA"/>
        </w:rPr>
        <w:t>Інформація про оперативні дані середньозваженої ціни закупівлі (</w:t>
      </w:r>
      <w:r w:rsidR="007A6188">
        <w:rPr>
          <w:b/>
          <w:bCs/>
          <w:sz w:val="23"/>
          <w:szCs w:val="23"/>
          <w:lang w:val="uk-UA" w:eastAsia="uk-UA"/>
        </w:rPr>
        <w:t>ВАРТ</w:t>
      </w:r>
      <w:r w:rsidR="007A6188">
        <w:rPr>
          <w:b/>
          <w:bCs/>
          <w:sz w:val="16"/>
          <w:szCs w:val="16"/>
          <w:lang w:val="uk-UA" w:eastAsia="uk-UA"/>
        </w:rPr>
        <w:t>ЗАК</w:t>
      </w:r>
      <w:r w:rsidRPr="00B15613">
        <w:rPr>
          <w:sz w:val="23"/>
          <w:szCs w:val="23"/>
          <w:lang w:val="uk-UA" w:eastAsia="uk-UA"/>
        </w:rPr>
        <w:t>), ціни регульованих послуг публікується на сайті Постачальника.</w:t>
      </w:r>
    </w:p>
    <w:p w14:paraId="6C3A321C" w14:textId="77777777" w:rsidR="00B15613" w:rsidRPr="00B15613" w:rsidRDefault="00B15613" w:rsidP="00B15613">
      <w:pPr>
        <w:pStyle w:val="Default"/>
        <w:jc w:val="both"/>
        <w:rPr>
          <w:sz w:val="23"/>
          <w:szCs w:val="23"/>
          <w:lang w:val="uk-UA" w:eastAsia="uk-UA"/>
        </w:rPr>
      </w:pPr>
    </w:p>
    <w:p w14:paraId="0FA14D18" w14:textId="77777777" w:rsidR="00B15613" w:rsidRPr="00B15613" w:rsidRDefault="00F60593" w:rsidP="002D10DB">
      <w:pPr>
        <w:pStyle w:val="Default"/>
        <w:rPr>
          <w:sz w:val="23"/>
          <w:szCs w:val="23"/>
          <w:lang w:val="uk-UA" w:eastAsia="uk-UA"/>
        </w:rPr>
      </w:pPr>
      <w:r>
        <w:rPr>
          <w:b/>
          <w:sz w:val="23"/>
          <w:szCs w:val="23"/>
          <w:lang w:val="uk-UA" w:eastAsia="uk-UA"/>
        </w:rPr>
        <w:t>2</w:t>
      </w:r>
      <w:r w:rsidR="00B15613" w:rsidRPr="005F30B0">
        <w:rPr>
          <w:b/>
          <w:sz w:val="23"/>
          <w:szCs w:val="23"/>
          <w:lang w:val="uk-UA" w:eastAsia="uk-UA"/>
        </w:rPr>
        <w:t>.</w:t>
      </w:r>
      <w:r w:rsidR="00B15613" w:rsidRPr="005F30B0">
        <w:rPr>
          <w:b/>
          <w:sz w:val="23"/>
          <w:szCs w:val="23"/>
          <w:lang w:val="uk-UA" w:eastAsia="uk-UA"/>
        </w:rPr>
        <w:tab/>
        <w:t>Територія, на якій пропонується дана Комерційна пропозиція, визначається територією провадження господарської діяльності з розподілу (передачі)</w:t>
      </w:r>
      <w:r w:rsidR="005F30B0" w:rsidRPr="005F30B0">
        <w:rPr>
          <w:b/>
          <w:sz w:val="23"/>
          <w:szCs w:val="23"/>
          <w:lang w:val="uk-UA" w:eastAsia="uk-UA"/>
        </w:rPr>
        <w:t xml:space="preserve"> </w:t>
      </w:r>
      <w:r w:rsidR="00B15613" w:rsidRPr="005F30B0">
        <w:rPr>
          <w:b/>
          <w:sz w:val="23"/>
          <w:szCs w:val="23"/>
          <w:lang w:val="uk-UA" w:eastAsia="uk-UA"/>
        </w:rPr>
        <w:t>оператора системи:</w:t>
      </w:r>
    </w:p>
    <w:p w14:paraId="3A173B01" w14:textId="265815B0" w:rsidR="00B15613" w:rsidRDefault="005F30B0" w:rsidP="005F30B0">
      <w:pPr>
        <w:pStyle w:val="Default"/>
        <w:jc w:val="both"/>
        <w:rPr>
          <w:sz w:val="23"/>
          <w:szCs w:val="23"/>
          <w:lang w:val="uk-UA" w:eastAsia="uk-UA"/>
        </w:rPr>
      </w:pPr>
      <w:r>
        <w:rPr>
          <w:sz w:val="23"/>
          <w:szCs w:val="23"/>
          <w:lang w:val="uk-UA" w:eastAsia="uk-UA"/>
        </w:rPr>
        <w:t>На всій території України.</w:t>
      </w:r>
    </w:p>
    <w:p w14:paraId="283F726D" w14:textId="00C1903C" w:rsidR="005F30B0" w:rsidRDefault="005F30B0" w:rsidP="00B15613">
      <w:pPr>
        <w:pStyle w:val="Default"/>
        <w:jc w:val="both"/>
        <w:rPr>
          <w:sz w:val="23"/>
          <w:szCs w:val="23"/>
          <w:lang w:val="uk-UA" w:eastAsia="uk-UA"/>
        </w:rPr>
      </w:pPr>
    </w:p>
    <w:p w14:paraId="187144E7" w14:textId="4C6D1CB2" w:rsidR="002D10DB" w:rsidRPr="002D10DB" w:rsidRDefault="002D10DB" w:rsidP="002D10DB">
      <w:pPr>
        <w:pStyle w:val="Default"/>
        <w:rPr>
          <w:b/>
          <w:bCs/>
          <w:sz w:val="23"/>
          <w:szCs w:val="23"/>
          <w:lang w:val="uk-UA" w:eastAsia="uk-UA"/>
        </w:rPr>
      </w:pPr>
      <w:r w:rsidRPr="002D10DB">
        <w:rPr>
          <w:b/>
          <w:bCs/>
          <w:sz w:val="23"/>
          <w:szCs w:val="23"/>
          <w:lang w:val="uk-UA" w:eastAsia="uk-UA"/>
        </w:rPr>
        <w:t>3.</w:t>
      </w:r>
      <w:r w:rsidRPr="002D10DB">
        <w:rPr>
          <w:b/>
          <w:bCs/>
          <w:sz w:val="23"/>
          <w:szCs w:val="23"/>
          <w:lang w:val="uk-UA" w:eastAsia="uk-UA"/>
        </w:rPr>
        <w:tab/>
        <w:t>Визначення обсягів спожитої електроенергії:</w:t>
      </w:r>
    </w:p>
    <w:p w14:paraId="0033ADF0" w14:textId="47C8AB14" w:rsidR="002D10DB" w:rsidRDefault="002D10DB" w:rsidP="002D10DB">
      <w:pPr>
        <w:pStyle w:val="Default"/>
        <w:jc w:val="both"/>
        <w:rPr>
          <w:sz w:val="23"/>
          <w:szCs w:val="23"/>
          <w:lang w:val="uk-UA" w:eastAsia="uk-UA"/>
        </w:rPr>
      </w:pPr>
      <w:r w:rsidRPr="002D10DB">
        <w:rPr>
          <w:sz w:val="23"/>
          <w:szCs w:val="23"/>
          <w:lang w:val="uk-UA" w:eastAsia="uk-UA"/>
        </w:rPr>
        <w:lastRenderedPageBreak/>
        <w:t>Обсяги спожитої Клієнтом та розподіленої електричної енергії визначаються Оператором системи.</w:t>
      </w:r>
    </w:p>
    <w:p w14:paraId="7857ED89" w14:textId="6040A7B7" w:rsidR="00E54951" w:rsidRDefault="00E54951" w:rsidP="002D10DB">
      <w:pPr>
        <w:pStyle w:val="Default"/>
        <w:jc w:val="both"/>
        <w:rPr>
          <w:sz w:val="23"/>
          <w:szCs w:val="23"/>
          <w:lang w:val="uk-UA" w:eastAsia="uk-UA"/>
        </w:rPr>
      </w:pPr>
    </w:p>
    <w:p w14:paraId="4B028337" w14:textId="6682DE48" w:rsidR="00E54951" w:rsidRPr="00E54951" w:rsidRDefault="00E54951" w:rsidP="00E54951">
      <w:pPr>
        <w:pStyle w:val="Default"/>
        <w:jc w:val="both"/>
        <w:rPr>
          <w:b/>
          <w:bCs/>
          <w:sz w:val="23"/>
          <w:szCs w:val="23"/>
          <w:lang w:val="uk-UA" w:eastAsia="uk-UA"/>
        </w:rPr>
      </w:pPr>
      <w:r>
        <w:rPr>
          <w:b/>
          <w:bCs/>
          <w:sz w:val="23"/>
          <w:szCs w:val="23"/>
          <w:lang w:val="uk-UA" w:eastAsia="uk-UA"/>
        </w:rPr>
        <w:t>4</w:t>
      </w:r>
      <w:r w:rsidRPr="00E54951">
        <w:rPr>
          <w:b/>
          <w:bCs/>
          <w:sz w:val="23"/>
          <w:szCs w:val="23"/>
          <w:lang w:val="uk-UA" w:eastAsia="uk-UA"/>
        </w:rPr>
        <w:t>.</w:t>
      </w:r>
      <w:r w:rsidRPr="00E54951">
        <w:rPr>
          <w:b/>
          <w:bCs/>
          <w:sz w:val="23"/>
          <w:szCs w:val="23"/>
          <w:lang w:val="uk-UA" w:eastAsia="uk-UA"/>
        </w:rPr>
        <w:tab/>
        <w:t>Спосіб оплати</w:t>
      </w:r>
    </w:p>
    <w:p w14:paraId="3A70BA96" w14:textId="35590281" w:rsidR="00E54951" w:rsidRPr="00E54951" w:rsidRDefault="00E54951" w:rsidP="00E54951">
      <w:pPr>
        <w:pStyle w:val="Default"/>
        <w:jc w:val="both"/>
        <w:rPr>
          <w:sz w:val="23"/>
          <w:szCs w:val="23"/>
          <w:lang w:val="uk-UA" w:eastAsia="uk-UA"/>
        </w:rPr>
      </w:pPr>
      <w:r>
        <w:rPr>
          <w:sz w:val="23"/>
          <w:szCs w:val="23"/>
          <w:lang w:val="uk-UA" w:eastAsia="uk-UA"/>
        </w:rPr>
        <w:t>4</w:t>
      </w:r>
      <w:r w:rsidRPr="00E54951">
        <w:rPr>
          <w:sz w:val="23"/>
          <w:szCs w:val="23"/>
          <w:lang w:val="uk-UA" w:eastAsia="uk-UA"/>
        </w:rPr>
        <w:t>.1.</w:t>
      </w:r>
      <w:r w:rsidRPr="00E54951">
        <w:rPr>
          <w:sz w:val="23"/>
          <w:szCs w:val="23"/>
          <w:lang w:val="uk-UA" w:eastAsia="uk-UA"/>
        </w:rPr>
        <w:tab/>
        <w:t>Розрахунки за електричну енергію здійснюються виключно в грошовій формі відповідно до умов договору, шляхом перерахування коштів тільки на поточний рахунок із спеціальним режимом використання Постачальника, вказаний у рахунку на оплату та на сайті Постачальника.</w:t>
      </w:r>
    </w:p>
    <w:p w14:paraId="11B2DA0C" w14:textId="50C498B2" w:rsidR="00E54951" w:rsidRPr="00E54951" w:rsidRDefault="00E54951" w:rsidP="00E54951">
      <w:pPr>
        <w:pStyle w:val="Default"/>
        <w:jc w:val="both"/>
        <w:rPr>
          <w:sz w:val="23"/>
          <w:szCs w:val="23"/>
          <w:lang w:val="uk-UA" w:eastAsia="uk-UA"/>
        </w:rPr>
      </w:pPr>
      <w:r>
        <w:rPr>
          <w:sz w:val="23"/>
          <w:szCs w:val="23"/>
          <w:lang w:val="uk-UA" w:eastAsia="uk-UA"/>
        </w:rPr>
        <w:t>4</w:t>
      </w:r>
      <w:r w:rsidRPr="00E54951">
        <w:rPr>
          <w:sz w:val="23"/>
          <w:szCs w:val="23"/>
          <w:lang w:val="uk-UA" w:eastAsia="uk-UA"/>
        </w:rPr>
        <w:t>.2.</w:t>
      </w:r>
      <w:r w:rsidRPr="00E54951">
        <w:rPr>
          <w:sz w:val="23"/>
          <w:szCs w:val="23"/>
          <w:lang w:val="uk-UA" w:eastAsia="uk-UA"/>
        </w:rPr>
        <w:tab/>
        <w:t>Прийняттям даної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(поточний та поточний із спеціальним режимом використання) таким чином, щоб забезпечити їх коректне відображення.</w:t>
      </w:r>
    </w:p>
    <w:p w14:paraId="1563B1C3" w14:textId="77777777" w:rsidR="00E54951" w:rsidRPr="00E54951" w:rsidRDefault="00E54951" w:rsidP="00E54951">
      <w:pPr>
        <w:pStyle w:val="Default"/>
        <w:jc w:val="both"/>
        <w:rPr>
          <w:sz w:val="23"/>
          <w:szCs w:val="23"/>
          <w:lang w:val="uk-UA" w:eastAsia="uk-UA"/>
        </w:rPr>
      </w:pPr>
    </w:p>
    <w:p w14:paraId="2CA7508B" w14:textId="4E603C1C" w:rsidR="00E54951" w:rsidRPr="00E54951" w:rsidRDefault="00E54951" w:rsidP="00E54951">
      <w:pPr>
        <w:pStyle w:val="Default"/>
        <w:jc w:val="both"/>
        <w:rPr>
          <w:b/>
          <w:bCs/>
          <w:sz w:val="23"/>
          <w:szCs w:val="23"/>
          <w:lang w:val="uk-UA" w:eastAsia="uk-UA"/>
        </w:rPr>
      </w:pPr>
      <w:r>
        <w:rPr>
          <w:b/>
          <w:bCs/>
          <w:sz w:val="23"/>
          <w:szCs w:val="23"/>
          <w:lang w:val="uk-UA" w:eastAsia="uk-UA"/>
        </w:rPr>
        <w:t>5</w:t>
      </w:r>
      <w:r w:rsidRPr="00E54951">
        <w:rPr>
          <w:b/>
          <w:bCs/>
          <w:sz w:val="23"/>
          <w:szCs w:val="23"/>
          <w:lang w:val="uk-UA" w:eastAsia="uk-UA"/>
        </w:rPr>
        <w:t>.</w:t>
      </w:r>
      <w:r w:rsidRPr="00E54951">
        <w:rPr>
          <w:b/>
          <w:bCs/>
          <w:sz w:val="23"/>
          <w:szCs w:val="23"/>
          <w:lang w:val="uk-UA" w:eastAsia="uk-UA"/>
        </w:rPr>
        <w:tab/>
        <w:t>Порядок оплати</w:t>
      </w:r>
    </w:p>
    <w:p w14:paraId="29C9C202" w14:textId="53DE85DF" w:rsidR="00E54951" w:rsidRPr="00E54951" w:rsidRDefault="00E54951" w:rsidP="00E54951">
      <w:pPr>
        <w:pStyle w:val="Default"/>
        <w:jc w:val="both"/>
        <w:rPr>
          <w:sz w:val="23"/>
          <w:szCs w:val="23"/>
          <w:lang w:val="uk-UA" w:eastAsia="uk-UA"/>
        </w:rPr>
      </w:pPr>
      <w:r>
        <w:rPr>
          <w:sz w:val="23"/>
          <w:szCs w:val="23"/>
          <w:lang w:val="uk-UA" w:eastAsia="uk-UA"/>
        </w:rPr>
        <w:t>5</w:t>
      </w:r>
      <w:r w:rsidRPr="00E54951">
        <w:rPr>
          <w:sz w:val="23"/>
          <w:szCs w:val="23"/>
          <w:lang w:val="uk-UA" w:eastAsia="uk-UA"/>
        </w:rPr>
        <w:t>.1.</w:t>
      </w:r>
      <w:r w:rsidRPr="00E54951">
        <w:rPr>
          <w:sz w:val="23"/>
          <w:szCs w:val="23"/>
          <w:lang w:val="uk-UA" w:eastAsia="uk-UA"/>
        </w:rPr>
        <w:tab/>
        <w:t>Оплата обсягів споживання електричної енергії здійснюється наступними етапами:</w:t>
      </w:r>
    </w:p>
    <w:p w14:paraId="3C249494" w14:textId="5570180E" w:rsidR="00E54951" w:rsidRPr="00E54951" w:rsidRDefault="00E54951" w:rsidP="00E54951">
      <w:pPr>
        <w:pStyle w:val="Default"/>
        <w:jc w:val="both"/>
        <w:rPr>
          <w:sz w:val="23"/>
          <w:szCs w:val="23"/>
          <w:lang w:val="uk-UA" w:eastAsia="uk-UA"/>
        </w:rPr>
      </w:pPr>
      <w:r w:rsidRPr="00E54951">
        <w:rPr>
          <w:sz w:val="23"/>
          <w:szCs w:val="23"/>
          <w:lang w:val="uk-UA" w:eastAsia="uk-UA"/>
        </w:rPr>
        <w:t>–</w:t>
      </w:r>
      <w:r w:rsidRPr="00E54951">
        <w:rPr>
          <w:sz w:val="23"/>
          <w:szCs w:val="23"/>
          <w:lang w:val="uk-UA" w:eastAsia="uk-UA"/>
        </w:rPr>
        <w:tab/>
      </w:r>
      <w:r w:rsidR="00E04826">
        <w:rPr>
          <w:sz w:val="23"/>
          <w:szCs w:val="23"/>
          <w:lang w:val="uk-UA" w:eastAsia="uk-UA"/>
        </w:rPr>
        <w:t>70</w:t>
      </w:r>
      <w:r w:rsidRPr="00E54951">
        <w:rPr>
          <w:sz w:val="23"/>
          <w:szCs w:val="23"/>
          <w:lang w:val="uk-UA" w:eastAsia="uk-UA"/>
        </w:rPr>
        <w:t>% вартості прогнозованих (заявлених) обсягів споживання електричної енергії у розрахунковому періоді оплачується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14:paraId="6264C10A" w14:textId="77777777" w:rsidR="00E54951" w:rsidRPr="00E54951" w:rsidRDefault="00E54951" w:rsidP="00E54951">
      <w:pPr>
        <w:pStyle w:val="Default"/>
        <w:jc w:val="both"/>
        <w:rPr>
          <w:sz w:val="23"/>
          <w:szCs w:val="23"/>
          <w:lang w:val="uk-UA" w:eastAsia="uk-UA"/>
        </w:rPr>
      </w:pPr>
      <w:r w:rsidRPr="00E54951">
        <w:rPr>
          <w:sz w:val="23"/>
          <w:szCs w:val="23"/>
          <w:lang w:val="uk-UA" w:eastAsia="uk-UA"/>
        </w:rPr>
        <w:t>–</w:t>
      </w:r>
      <w:r w:rsidRPr="00E54951">
        <w:rPr>
          <w:sz w:val="23"/>
          <w:szCs w:val="23"/>
          <w:lang w:val="uk-UA" w:eastAsia="uk-UA"/>
        </w:rPr>
        <w:tab/>
        <w:t>остаточний розрахунок за фактичним обсягом споживання – не пізніше, ніж на 5 робочий день після закінчення розрахункового періоду.</w:t>
      </w:r>
    </w:p>
    <w:p w14:paraId="4E4E7D37" w14:textId="77777777" w:rsidR="00E54951" w:rsidRPr="00E54951" w:rsidRDefault="00E54951" w:rsidP="00E54951">
      <w:pPr>
        <w:pStyle w:val="Default"/>
        <w:jc w:val="both"/>
        <w:rPr>
          <w:sz w:val="23"/>
          <w:szCs w:val="23"/>
          <w:lang w:val="uk-UA" w:eastAsia="uk-UA"/>
        </w:rPr>
      </w:pPr>
      <w:r w:rsidRPr="00E54951">
        <w:rPr>
          <w:sz w:val="23"/>
          <w:szCs w:val="23"/>
          <w:lang w:val="uk-UA" w:eastAsia="uk-UA"/>
        </w:rPr>
        <w:t>Розмір попередньої оплати визначається на підставі прогнозованих (заявлених) обсягів споживання електричної енергії на розрахунковий період, а у разі відсутності прогнозованих (заявлених) обсягів – за обсягом фактичного споживання електричної енергії попереднього розрахункового періоду, що передує даті видачі рахунку.</w:t>
      </w:r>
    </w:p>
    <w:p w14:paraId="342685FE" w14:textId="35D63F8D" w:rsidR="00E54951" w:rsidRPr="00E54951" w:rsidRDefault="00E54951" w:rsidP="00E54951">
      <w:pPr>
        <w:pStyle w:val="Default"/>
        <w:jc w:val="both"/>
        <w:rPr>
          <w:sz w:val="23"/>
          <w:szCs w:val="23"/>
          <w:lang w:val="uk-UA" w:eastAsia="uk-UA"/>
        </w:rPr>
      </w:pPr>
      <w:r>
        <w:rPr>
          <w:sz w:val="23"/>
          <w:szCs w:val="23"/>
          <w:lang w:val="uk-UA" w:eastAsia="uk-UA"/>
        </w:rPr>
        <w:t>5</w:t>
      </w:r>
      <w:r w:rsidRPr="00E54951">
        <w:rPr>
          <w:sz w:val="23"/>
          <w:szCs w:val="23"/>
          <w:lang w:val="uk-UA" w:eastAsia="uk-UA"/>
        </w:rPr>
        <w:t>.2.</w:t>
      </w:r>
      <w:r w:rsidRPr="00E54951">
        <w:rPr>
          <w:sz w:val="23"/>
          <w:szCs w:val="23"/>
          <w:lang w:val="uk-UA" w:eastAsia="uk-UA"/>
        </w:rPr>
        <w:tab/>
        <w:t>Споживач надає звіти про покази засобу обліку за формою узгодженою з оператором системи розподілу, за розрахунковий період та у дати, визначені Договором про постачання електричної енергії.</w:t>
      </w:r>
    </w:p>
    <w:p w14:paraId="44EF210A" w14:textId="70DA6638" w:rsidR="00E54951" w:rsidRPr="00E54951" w:rsidRDefault="00E54951" w:rsidP="00E54951">
      <w:pPr>
        <w:pStyle w:val="Default"/>
        <w:jc w:val="both"/>
        <w:rPr>
          <w:sz w:val="23"/>
          <w:szCs w:val="23"/>
          <w:lang w:val="uk-UA" w:eastAsia="uk-UA"/>
        </w:rPr>
      </w:pPr>
      <w:r w:rsidRPr="00E54951">
        <w:rPr>
          <w:sz w:val="23"/>
          <w:szCs w:val="23"/>
          <w:lang w:val="uk-UA" w:eastAsia="uk-UA"/>
        </w:rPr>
        <w:t>Новий споживач надає звіти про покази засобу обліку 0</w:t>
      </w:r>
      <w:r>
        <w:rPr>
          <w:sz w:val="23"/>
          <w:szCs w:val="23"/>
          <w:lang w:val="uk-UA" w:eastAsia="uk-UA"/>
        </w:rPr>
        <w:t>2</w:t>
      </w:r>
      <w:r w:rsidRPr="00E54951">
        <w:rPr>
          <w:sz w:val="23"/>
          <w:szCs w:val="23"/>
          <w:lang w:val="uk-UA" w:eastAsia="uk-UA"/>
        </w:rPr>
        <w:t xml:space="preserve"> числа розрахункового місяця.</w:t>
      </w:r>
    </w:p>
    <w:p w14:paraId="24D34637" w14:textId="77777777" w:rsidR="00E54951" w:rsidRPr="00E54951" w:rsidRDefault="00E54951" w:rsidP="00E54951">
      <w:pPr>
        <w:pStyle w:val="Default"/>
        <w:jc w:val="both"/>
        <w:rPr>
          <w:sz w:val="23"/>
          <w:szCs w:val="23"/>
          <w:lang w:val="uk-UA" w:eastAsia="uk-UA"/>
        </w:rPr>
      </w:pPr>
      <w:r w:rsidRPr="00E54951">
        <w:rPr>
          <w:sz w:val="23"/>
          <w:szCs w:val="23"/>
          <w:lang w:val="uk-UA" w:eastAsia="uk-UA"/>
        </w:rPr>
        <w:t>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w:t>
      </w:r>
    </w:p>
    <w:p w14:paraId="58396DB1" w14:textId="77777777" w:rsidR="00E54951" w:rsidRPr="00E54951" w:rsidRDefault="00E54951" w:rsidP="00E54951">
      <w:pPr>
        <w:pStyle w:val="Default"/>
        <w:jc w:val="both"/>
        <w:rPr>
          <w:sz w:val="23"/>
          <w:szCs w:val="23"/>
          <w:lang w:val="uk-UA" w:eastAsia="uk-UA"/>
        </w:rPr>
      </w:pPr>
      <w:r w:rsidRPr="00E54951">
        <w:rPr>
          <w:sz w:val="23"/>
          <w:szCs w:val="23"/>
          <w:lang w:val="uk-UA" w:eastAsia="uk-UA"/>
        </w:rPr>
        <w:t>на останній день розрахункового періоду визначаються відповідно до вимог Кодексу комерційного обліку, зокрема, за середньодобовим споживанням.</w:t>
      </w:r>
    </w:p>
    <w:p w14:paraId="2E32049B" w14:textId="77777777" w:rsidR="00E54951" w:rsidRPr="00E54951" w:rsidRDefault="00E54951" w:rsidP="00E54951">
      <w:pPr>
        <w:pStyle w:val="Default"/>
        <w:jc w:val="both"/>
        <w:rPr>
          <w:sz w:val="23"/>
          <w:szCs w:val="23"/>
          <w:lang w:val="uk-UA" w:eastAsia="uk-UA"/>
        </w:rPr>
      </w:pPr>
    </w:p>
    <w:p w14:paraId="4FE777F6" w14:textId="108A41FD" w:rsidR="00E54951" w:rsidRPr="00E54951" w:rsidRDefault="00E54951" w:rsidP="00E54951">
      <w:pPr>
        <w:pStyle w:val="Default"/>
        <w:jc w:val="both"/>
        <w:rPr>
          <w:b/>
          <w:bCs/>
          <w:sz w:val="23"/>
          <w:szCs w:val="23"/>
          <w:lang w:val="uk-UA" w:eastAsia="uk-UA"/>
        </w:rPr>
      </w:pPr>
      <w:r>
        <w:rPr>
          <w:b/>
          <w:bCs/>
          <w:sz w:val="23"/>
          <w:szCs w:val="23"/>
          <w:lang w:val="uk-UA" w:eastAsia="uk-UA"/>
        </w:rPr>
        <w:t>6</w:t>
      </w:r>
      <w:r w:rsidRPr="00E54951">
        <w:rPr>
          <w:b/>
          <w:bCs/>
          <w:sz w:val="23"/>
          <w:szCs w:val="23"/>
          <w:lang w:val="uk-UA" w:eastAsia="uk-UA"/>
        </w:rPr>
        <w:t>.</w:t>
      </w:r>
      <w:r w:rsidRPr="00E54951">
        <w:rPr>
          <w:b/>
          <w:bCs/>
          <w:sz w:val="23"/>
          <w:szCs w:val="23"/>
          <w:lang w:val="uk-UA" w:eastAsia="uk-UA"/>
        </w:rPr>
        <w:tab/>
        <w:t>Термін (строк) надання рахунку за спожиту електричну енергію (акту прийняття-передавання) та термін (строк) оплати</w:t>
      </w:r>
    </w:p>
    <w:p w14:paraId="7DF20768" w14:textId="10EBB063" w:rsidR="00E54951" w:rsidRPr="00E54951" w:rsidRDefault="00E54951" w:rsidP="00E54951">
      <w:pPr>
        <w:pStyle w:val="Default"/>
        <w:jc w:val="both"/>
        <w:rPr>
          <w:sz w:val="23"/>
          <w:szCs w:val="23"/>
          <w:lang w:val="uk-UA" w:eastAsia="uk-UA"/>
        </w:rPr>
      </w:pPr>
      <w:r>
        <w:rPr>
          <w:sz w:val="23"/>
          <w:szCs w:val="23"/>
          <w:lang w:val="uk-UA" w:eastAsia="uk-UA"/>
        </w:rPr>
        <w:t>6</w:t>
      </w:r>
      <w:r w:rsidRPr="00E54951">
        <w:rPr>
          <w:sz w:val="23"/>
          <w:szCs w:val="23"/>
          <w:lang w:val="uk-UA" w:eastAsia="uk-UA"/>
        </w:rPr>
        <w:t>.1.</w:t>
      </w:r>
      <w:r w:rsidRPr="00E54951">
        <w:rPr>
          <w:sz w:val="23"/>
          <w:szCs w:val="23"/>
          <w:lang w:val="uk-UA" w:eastAsia="uk-UA"/>
        </w:rPr>
        <w:tab/>
        <w:t>Рахунки надаються у день подання Споживачем звіту або після отримання Постачальником інформації від Оператора системи розподілу щодо фактично спожитих обсягів споживання електричної енергії за розрахунковий період. Для нових споживачів перший рахунок надається протягом 3-х днів з дати подання Споживачем заяви-приєднання Постачальнику.</w:t>
      </w:r>
    </w:p>
    <w:p w14:paraId="49132854" w14:textId="77777777" w:rsidR="00E54951" w:rsidRPr="00E54951" w:rsidRDefault="00E54951" w:rsidP="00E54951">
      <w:pPr>
        <w:pStyle w:val="Default"/>
        <w:jc w:val="both"/>
        <w:rPr>
          <w:sz w:val="23"/>
          <w:szCs w:val="23"/>
          <w:lang w:val="uk-UA" w:eastAsia="uk-UA"/>
        </w:rPr>
      </w:pPr>
      <w:r w:rsidRPr="00E54951">
        <w:rPr>
          <w:sz w:val="23"/>
          <w:szCs w:val="23"/>
          <w:lang w:val="uk-UA" w:eastAsia="uk-UA"/>
        </w:rPr>
        <w:t>У разі неодержання рахунку, Споживач самостійно оформляє платіжні документи та здійснює оплату на їх підставі у строк, зазначений у п. 4.1. Комерційної пропозиції.</w:t>
      </w:r>
    </w:p>
    <w:p w14:paraId="2B6EF691" w14:textId="22D6A838" w:rsidR="00E54951" w:rsidRDefault="00E54951" w:rsidP="00E54951">
      <w:pPr>
        <w:pStyle w:val="Default"/>
        <w:jc w:val="both"/>
        <w:rPr>
          <w:sz w:val="23"/>
          <w:szCs w:val="23"/>
          <w:lang w:val="uk-UA" w:eastAsia="uk-UA"/>
        </w:rPr>
      </w:pPr>
      <w:r>
        <w:rPr>
          <w:sz w:val="23"/>
          <w:szCs w:val="23"/>
          <w:lang w:val="uk-UA" w:eastAsia="uk-UA"/>
        </w:rPr>
        <w:t>6</w:t>
      </w:r>
      <w:r w:rsidRPr="00E54951">
        <w:rPr>
          <w:sz w:val="23"/>
          <w:szCs w:val="23"/>
          <w:lang w:val="uk-UA" w:eastAsia="uk-UA"/>
        </w:rPr>
        <w:t>.2.</w:t>
      </w:r>
      <w:r w:rsidRPr="00E54951">
        <w:rPr>
          <w:sz w:val="23"/>
          <w:szCs w:val="23"/>
          <w:lang w:val="uk-UA" w:eastAsia="uk-UA"/>
        </w:rPr>
        <w:tab/>
        <w:t>Акт прийняття-передавання оформлюється Постачальником у день надання рахунку за спожиту електричну енергію.</w:t>
      </w:r>
    </w:p>
    <w:p w14:paraId="06890F26" w14:textId="77777777" w:rsidR="002D10DB" w:rsidRPr="002D10DB" w:rsidRDefault="002D10DB" w:rsidP="002D10DB">
      <w:pPr>
        <w:pStyle w:val="Default"/>
        <w:jc w:val="both"/>
        <w:rPr>
          <w:sz w:val="23"/>
          <w:szCs w:val="23"/>
          <w:lang w:val="uk-UA" w:eastAsia="uk-UA"/>
        </w:rPr>
      </w:pPr>
    </w:p>
    <w:p w14:paraId="16592E13" w14:textId="3F8A02E1" w:rsidR="002D10DB" w:rsidRDefault="00E54951" w:rsidP="002D10DB">
      <w:pPr>
        <w:pStyle w:val="Default"/>
        <w:jc w:val="both"/>
        <w:rPr>
          <w:sz w:val="23"/>
          <w:szCs w:val="23"/>
          <w:lang w:val="uk-UA" w:eastAsia="uk-UA"/>
        </w:rPr>
      </w:pPr>
      <w:r>
        <w:rPr>
          <w:b/>
          <w:bCs/>
          <w:sz w:val="23"/>
          <w:szCs w:val="23"/>
          <w:lang w:val="uk-UA" w:eastAsia="uk-UA"/>
        </w:rPr>
        <w:t>7</w:t>
      </w:r>
      <w:r w:rsidR="002D10DB" w:rsidRPr="002D10DB">
        <w:rPr>
          <w:b/>
          <w:bCs/>
          <w:sz w:val="23"/>
          <w:szCs w:val="23"/>
          <w:lang w:val="uk-UA" w:eastAsia="uk-UA"/>
        </w:rPr>
        <w:t>.</w:t>
      </w:r>
      <w:r w:rsidR="002D10DB" w:rsidRPr="002D10DB">
        <w:rPr>
          <w:b/>
          <w:bCs/>
          <w:sz w:val="23"/>
          <w:szCs w:val="23"/>
          <w:lang w:val="uk-UA" w:eastAsia="uk-UA"/>
        </w:rPr>
        <w:tab/>
        <w:t>Оплата послуг з розподілу електричної енергії мережами Оператора системи:</w:t>
      </w:r>
      <w:r w:rsidR="002D10DB" w:rsidRPr="002D10DB">
        <w:rPr>
          <w:sz w:val="23"/>
          <w:szCs w:val="23"/>
          <w:lang w:val="uk-UA" w:eastAsia="uk-UA"/>
        </w:rPr>
        <w:t xml:space="preserve"> Клієнт здійснює плату за послугу з розподілу електричної енергії безпосередньо Оператору системи розподілу.</w:t>
      </w:r>
    </w:p>
    <w:p w14:paraId="2F208C12" w14:textId="77777777" w:rsidR="002D10DB" w:rsidRPr="002D10DB" w:rsidRDefault="002D10DB" w:rsidP="002D10DB">
      <w:pPr>
        <w:pStyle w:val="Default"/>
        <w:jc w:val="both"/>
        <w:rPr>
          <w:sz w:val="23"/>
          <w:szCs w:val="23"/>
          <w:lang w:val="uk-UA" w:eastAsia="uk-UA"/>
        </w:rPr>
      </w:pPr>
    </w:p>
    <w:p w14:paraId="37D2812C" w14:textId="285B0A99" w:rsidR="002D10DB" w:rsidRDefault="00E54951" w:rsidP="002D10DB">
      <w:pPr>
        <w:pStyle w:val="Default"/>
        <w:jc w:val="both"/>
        <w:rPr>
          <w:sz w:val="23"/>
          <w:szCs w:val="23"/>
          <w:lang w:val="uk-UA" w:eastAsia="uk-UA"/>
        </w:rPr>
      </w:pPr>
      <w:r>
        <w:rPr>
          <w:b/>
          <w:bCs/>
          <w:sz w:val="23"/>
          <w:szCs w:val="23"/>
          <w:lang w:val="uk-UA" w:eastAsia="uk-UA"/>
        </w:rPr>
        <w:t>8</w:t>
      </w:r>
      <w:r w:rsidR="002D10DB" w:rsidRPr="002D10DB">
        <w:rPr>
          <w:b/>
          <w:bCs/>
          <w:sz w:val="23"/>
          <w:szCs w:val="23"/>
          <w:lang w:val="uk-UA" w:eastAsia="uk-UA"/>
        </w:rPr>
        <w:t>.</w:t>
      </w:r>
      <w:r w:rsidR="002D10DB" w:rsidRPr="002D10DB">
        <w:rPr>
          <w:b/>
          <w:bCs/>
          <w:sz w:val="23"/>
          <w:szCs w:val="23"/>
          <w:lang w:val="uk-UA" w:eastAsia="uk-UA"/>
        </w:rPr>
        <w:tab/>
        <w:t>Розмір пені за порушення строку оплати та/або штраф:</w:t>
      </w:r>
      <w:r w:rsidR="002D10DB" w:rsidRPr="002D10DB">
        <w:rPr>
          <w:sz w:val="23"/>
          <w:szCs w:val="23"/>
          <w:lang w:val="uk-UA" w:eastAsia="uk-UA"/>
        </w:rPr>
        <w:t xml:space="preserve"> </w:t>
      </w:r>
    </w:p>
    <w:p w14:paraId="76494393" w14:textId="34851467" w:rsidR="002D10DB" w:rsidRPr="002D10DB" w:rsidRDefault="002D10DB" w:rsidP="002D10DB">
      <w:pPr>
        <w:pStyle w:val="Default"/>
        <w:jc w:val="both"/>
        <w:rPr>
          <w:sz w:val="23"/>
          <w:szCs w:val="23"/>
          <w:lang w:val="uk-UA" w:eastAsia="uk-UA"/>
        </w:rPr>
      </w:pPr>
      <w:r w:rsidRPr="002D10DB">
        <w:rPr>
          <w:sz w:val="23"/>
          <w:szCs w:val="23"/>
          <w:lang w:val="uk-UA" w:eastAsia="uk-UA"/>
        </w:rPr>
        <w:t xml:space="preserve">У разі несвоєчасної оплати обумовлених Договором та даним Додатком платежів, у тому числі за внесення платежів, </w:t>
      </w:r>
      <w:r w:rsidRPr="00D94AC8">
        <w:rPr>
          <w:sz w:val="23"/>
          <w:szCs w:val="23"/>
          <w:lang w:val="uk-UA" w:eastAsia="uk-UA"/>
        </w:rPr>
        <w:t xml:space="preserve">передбачених п. </w:t>
      </w:r>
      <w:r w:rsidR="00D94AC8" w:rsidRPr="00D94AC8">
        <w:rPr>
          <w:sz w:val="23"/>
          <w:szCs w:val="23"/>
          <w:lang w:val="uk-UA" w:eastAsia="uk-UA"/>
        </w:rPr>
        <w:t>5</w:t>
      </w:r>
      <w:r w:rsidRPr="00D94AC8">
        <w:rPr>
          <w:sz w:val="23"/>
          <w:szCs w:val="23"/>
          <w:lang w:val="uk-UA" w:eastAsia="uk-UA"/>
        </w:rPr>
        <w:t>.1 Комерційної</w:t>
      </w:r>
      <w:r w:rsidRPr="002D10DB">
        <w:rPr>
          <w:sz w:val="23"/>
          <w:szCs w:val="23"/>
          <w:lang w:val="uk-UA" w:eastAsia="uk-UA"/>
        </w:rPr>
        <w:t xml:space="preserve"> пропозиції, з порушенням строків, Постачальник електричної енергії проводить Клієнту нарахування за весь час прострочення:</w:t>
      </w:r>
    </w:p>
    <w:p w14:paraId="73B252D7" w14:textId="21B2539F" w:rsidR="002D10DB" w:rsidRDefault="002D10DB" w:rsidP="002D10DB">
      <w:pPr>
        <w:pStyle w:val="Default"/>
        <w:jc w:val="both"/>
        <w:rPr>
          <w:sz w:val="23"/>
          <w:szCs w:val="23"/>
          <w:lang w:val="uk-UA" w:eastAsia="uk-UA"/>
        </w:rPr>
      </w:pPr>
      <w:r w:rsidRPr="002D10DB">
        <w:rPr>
          <w:sz w:val="23"/>
          <w:szCs w:val="23"/>
          <w:lang w:val="uk-UA" w:eastAsia="uk-UA"/>
        </w:rPr>
        <w:t>- пені у розмірі 0,5% за кожен день прострочення, але не більше подвійної облікової ставки НБУ, що діяла в період, за який здійснюються нарахування пені, до повного погашення боргу. Пеня сплачується на поточний рахунок Постачальника, який вказується в рахунках, протягом 5 днів з дня їх отримання.</w:t>
      </w:r>
    </w:p>
    <w:p w14:paraId="513EBE0C" w14:textId="77777777" w:rsidR="002D10DB" w:rsidRPr="002D10DB" w:rsidRDefault="002D10DB" w:rsidP="002D10DB">
      <w:pPr>
        <w:pStyle w:val="Default"/>
        <w:jc w:val="both"/>
        <w:rPr>
          <w:sz w:val="23"/>
          <w:szCs w:val="23"/>
          <w:lang w:val="uk-UA" w:eastAsia="uk-UA"/>
        </w:rPr>
      </w:pPr>
    </w:p>
    <w:p w14:paraId="7B3AAAB2" w14:textId="1D41E26F" w:rsidR="002D10DB" w:rsidRDefault="00E54951" w:rsidP="002D10DB">
      <w:pPr>
        <w:pStyle w:val="Default"/>
        <w:jc w:val="both"/>
        <w:rPr>
          <w:sz w:val="23"/>
          <w:szCs w:val="23"/>
          <w:lang w:val="uk-UA" w:eastAsia="uk-UA"/>
        </w:rPr>
      </w:pPr>
      <w:r>
        <w:rPr>
          <w:b/>
          <w:bCs/>
          <w:sz w:val="23"/>
          <w:szCs w:val="23"/>
          <w:lang w:val="uk-UA" w:eastAsia="uk-UA"/>
        </w:rPr>
        <w:t>9</w:t>
      </w:r>
      <w:r w:rsidR="002D10DB" w:rsidRPr="002D10DB">
        <w:rPr>
          <w:b/>
          <w:bCs/>
          <w:sz w:val="23"/>
          <w:szCs w:val="23"/>
          <w:lang w:val="uk-UA" w:eastAsia="uk-UA"/>
        </w:rPr>
        <w:t>.</w:t>
      </w:r>
      <w:r w:rsidR="002D10DB" w:rsidRPr="002D10DB">
        <w:rPr>
          <w:b/>
          <w:bCs/>
          <w:sz w:val="23"/>
          <w:szCs w:val="23"/>
          <w:lang w:val="uk-UA" w:eastAsia="uk-UA"/>
        </w:rPr>
        <w:tab/>
        <w:t>Замовлення обсягів споживання електричної енергії:</w:t>
      </w:r>
      <w:r w:rsidR="002D10DB" w:rsidRPr="002D10DB">
        <w:rPr>
          <w:sz w:val="23"/>
          <w:szCs w:val="23"/>
          <w:lang w:val="uk-UA" w:eastAsia="uk-UA"/>
        </w:rPr>
        <w:t xml:space="preserve"> </w:t>
      </w:r>
    </w:p>
    <w:p w14:paraId="1B20E670" w14:textId="14B36594" w:rsidR="002D10DB" w:rsidRDefault="002D10DB" w:rsidP="002D10DB">
      <w:pPr>
        <w:pStyle w:val="Default"/>
        <w:jc w:val="both"/>
        <w:rPr>
          <w:sz w:val="23"/>
          <w:szCs w:val="23"/>
          <w:lang w:val="uk-UA" w:eastAsia="uk-UA"/>
        </w:rPr>
      </w:pPr>
      <w:r w:rsidRPr="002D10DB">
        <w:rPr>
          <w:sz w:val="23"/>
          <w:szCs w:val="23"/>
          <w:lang w:val="uk-UA" w:eastAsia="uk-UA"/>
        </w:rPr>
        <w:t>Клієнт не пізніше 10 числа місяця, що передує розрахунковому зобов'язаний подати План-графік обсягів постачання електричної енергії по-об'єктах Клієнта на яких впроваджено АСКОЕ/ЛУЗОД, згідно форми оприлюдненої на офіційному сайті. Загальні обсяги постачання електричної енергії повинні відповідати з додатком до Договору «Обсяги очікуваного споживання (постачання) електричної енергії Клієнтом».</w:t>
      </w:r>
    </w:p>
    <w:p w14:paraId="414C9C6F" w14:textId="77777777" w:rsidR="002D10DB" w:rsidRPr="002D10DB" w:rsidRDefault="002D10DB" w:rsidP="002D10DB">
      <w:pPr>
        <w:pStyle w:val="Default"/>
        <w:jc w:val="both"/>
        <w:rPr>
          <w:sz w:val="23"/>
          <w:szCs w:val="23"/>
          <w:lang w:val="uk-UA" w:eastAsia="uk-UA"/>
        </w:rPr>
      </w:pPr>
    </w:p>
    <w:p w14:paraId="0A9566B0" w14:textId="56DD1B2E" w:rsidR="002D10DB" w:rsidRDefault="00E54951" w:rsidP="002D10DB">
      <w:pPr>
        <w:pStyle w:val="Default"/>
        <w:jc w:val="both"/>
        <w:rPr>
          <w:sz w:val="23"/>
          <w:szCs w:val="23"/>
          <w:lang w:val="uk-UA" w:eastAsia="uk-UA"/>
        </w:rPr>
      </w:pPr>
      <w:r>
        <w:rPr>
          <w:b/>
          <w:bCs/>
          <w:sz w:val="23"/>
          <w:szCs w:val="23"/>
          <w:lang w:val="uk-UA" w:eastAsia="uk-UA"/>
        </w:rPr>
        <w:t>10</w:t>
      </w:r>
      <w:r w:rsidR="002D10DB" w:rsidRPr="002D10DB">
        <w:rPr>
          <w:b/>
          <w:bCs/>
          <w:sz w:val="23"/>
          <w:szCs w:val="23"/>
          <w:lang w:val="uk-UA" w:eastAsia="uk-UA"/>
        </w:rPr>
        <w:t>.</w:t>
      </w:r>
      <w:r w:rsidR="002D10DB" w:rsidRPr="002D10DB">
        <w:rPr>
          <w:b/>
          <w:bCs/>
          <w:sz w:val="23"/>
          <w:szCs w:val="23"/>
          <w:lang w:val="uk-UA" w:eastAsia="uk-UA"/>
        </w:rPr>
        <w:tab/>
        <w:t xml:space="preserve">Коригування заявлених величин споживання електричної енергії: </w:t>
      </w:r>
    </w:p>
    <w:p w14:paraId="5835128E" w14:textId="67F66163" w:rsidR="002D10DB" w:rsidRDefault="002D10DB" w:rsidP="002D10DB">
      <w:pPr>
        <w:pStyle w:val="Default"/>
        <w:jc w:val="both"/>
        <w:rPr>
          <w:sz w:val="23"/>
          <w:szCs w:val="23"/>
          <w:lang w:val="uk-UA" w:eastAsia="uk-UA"/>
        </w:rPr>
      </w:pPr>
      <w:r w:rsidRPr="002D10DB">
        <w:rPr>
          <w:sz w:val="23"/>
          <w:szCs w:val="23"/>
          <w:lang w:val="uk-UA" w:eastAsia="uk-UA"/>
        </w:rPr>
        <w:t>У разі необхідності Клієнт може не пізніше ніж за 5 календарних днів до запланованої дати коригування обсягів постачання електричної енергії збільшити/зменшити заявлений обсяг постачання електричної енергії. Підставою для збільшення обсягу постачання електричної енергії Постачальником Клієнту, є попередня оплата Клієнтом відповідно до п</w:t>
      </w:r>
      <w:r w:rsidR="007116B5">
        <w:rPr>
          <w:sz w:val="23"/>
          <w:szCs w:val="23"/>
          <w:lang w:val="uk-UA" w:eastAsia="uk-UA"/>
        </w:rPr>
        <w:t>ункту  5</w:t>
      </w:r>
      <w:r w:rsidRPr="002D10DB">
        <w:rPr>
          <w:sz w:val="23"/>
          <w:szCs w:val="23"/>
          <w:lang w:val="uk-UA" w:eastAsia="uk-UA"/>
        </w:rPr>
        <w:t>.1</w:t>
      </w:r>
      <w:r w:rsidR="007116B5">
        <w:rPr>
          <w:sz w:val="23"/>
          <w:szCs w:val="23"/>
          <w:lang w:val="uk-UA" w:eastAsia="uk-UA"/>
        </w:rPr>
        <w:t xml:space="preserve">. </w:t>
      </w:r>
      <w:r w:rsidRPr="002D10DB">
        <w:rPr>
          <w:sz w:val="23"/>
          <w:szCs w:val="23"/>
          <w:lang w:val="uk-UA" w:eastAsia="uk-UA"/>
        </w:rPr>
        <w:t>обсягу електричної енергії та письмове звернення Клієнта до Постачальника, надіслане у встановлений термін.</w:t>
      </w:r>
    </w:p>
    <w:p w14:paraId="7AE10F7F" w14:textId="77777777" w:rsidR="002D10DB" w:rsidRPr="002D10DB" w:rsidRDefault="002D10DB" w:rsidP="002D10DB">
      <w:pPr>
        <w:pStyle w:val="Default"/>
        <w:jc w:val="both"/>
        <w:rPr>
          <w:sz w:val="23"/>
          <w:szCs w:val="23"/>
          <w:lang w:val="uk-UA" w:eastAsia="uk-UA"/>
        </w:rPr>
      </w:pPr>
    </w:p>
    <w:p w14:paraId="420BF5B4" w14:textId="13730755" w:rsidR="002D10DB" w:rsidRDefault="00E54951" w:rsidP="002D10DB">
      <w:pPr>
        <w:pStyle w:val="Default"/>
        <w:jc w:val="both"/>
        <w:rPr>
          <w:sz w:val="23"/>
          <w:szCs w:val="23"/>
          <w:lang w:val="uk-UA" w:eastAsia="uk-UA"/>
        </w:rPr>
      </w:pPr>
      <w:r>
        <w:rPr>
          <w:b/>
          <w:bCs/>
          <w:sz w:val="23"/>
          <w:szCs w:val="23"/>
          <w:lang w:val="uk-UA" w:eastAsia="uk-UA"/>
        </w:rPr>
        <w:t>11</w:t>
      </w:r>
      <w:r w:rsidR="002D10DB" w:rsidRPr="002D10DB">
        <w:rPr>
          <w:b/>
          <w:bCs/>
          <w:sz w:val="23"/>
          <w:szCs w:val="23"/>
          <w:lang w:val="uk-UA" w:eastAsia="uk-UA"/>
        </w:rPr>
        <w:t>.</w:t>
      </w:r>
      <w:r w:rsidR="002D10DB" w:rsidRPr="002D10DB">
        <w:rPr>
          <w:b/>
          <w:bCs/>
          <w:sz w:val="23"/>
          <w:szCs w:val="23"/>
          <w:lang w:val="uk-UA" w:eastAsia="uk-UA"/>
        </w:rPr>
        <w:tab/>
        <w:t>Вимоги до передачі даних АСКОЕ (ЛУЗОД):</w:t>
      </w:r>
      <w:r w:rsidR="002D10DB" w:rsidRPr="002D10DB">
        <w:rPr>
          <w:sz w:val="23"/>
          <w:szCs w:val="23"/>
          <w:lang w:val="uk-UA" w:eastAsia="uk-UA"/>
        </w:rPr>
        <w:t xml:space="preserve"> </w:t>
      </w:r>
    </w:p>
    <w:p w14:paraId="49285521" w14:textId="43B2EBC6" w:rsidR="002D10DB" w:rsidRPr="002D10DB" w:rsidRDefault="002D10DB" w:rsidP="002D10DB">
      <w:pPr>
        <w:pStyle w:val="Default"/>
        <w:jc w:val="both"/>
        <w:rPr>
          <w:sz w:val="23"/>
          <w:szCs w:val="23"/>
          <w:lang w:val="uk-UA" w:eastAsia="uk-UA"/>
        </w:rPr>
      </w:pPr>
      <w:r w:rsidRPr="002D10DB">
        <w:rPr>
          <w:sz w:val="23"/>
          <w:szCs w:val="23"/>
          <w:lang w:val="uk-UA" w:eastAsia="uk-UA"/>
        </w:rPr>
        <w:t>Автоматизована система комерційного обліку електричної енергії (АСКОЕ) або локальне устаткування збору і обробки даних (ЛУЗОД) мають відповідати вимогам Кодексу комерційного обліку електричної енергії. В разі виходу з ладу розрахункових приладів диференційного (погодинного) обліку споживання електроенергії (складових вимірювального комплексу) у точці обліку Клієнта, якому Постачальник постачає електричну енергію, використовуються дублюючі прилади диференційного (погодинного) обліку (складові вимірювального комплексу), а у разі їх відсутності визначення обсягів споживання по таких точках обліку Клієнта здійснюється за середньодобовим графіком споживання електроенергії попереднього розрахункового періоду (до моменту виходу з ладу розрахункового приладу диференційного (погодинного) обліку споживання), про що Клієнт повідомляє Постачальника протягом розрахункового періоду. Клієнт зобов’язаний в термін не більше одного місяця відновити погодинний розрахунковий облік і письмово повідомити про це Постачальника.</w:t>
      </w:r>
    </w:p>
    <w:p w14:paraId="2B56BA51" w14:textId="77777777" w:rsidR="002D10DB" w:rsidRPr="002D10DB" w:rsidRDefault="002D10DB" w:rsidP="002D10DB">
      <w:pPr>
        <w:pStyle w:val="Default"/>
        <w:jc w:val="both"/>
        <w:rPr>
          <w:sz w:val="23"/>
          <w:szCs w:val="23"/>
          <w:lang w:val="uk-UA" w:eastAsia="uk-UA"/>
        </w:rPr>
      </w:pPr>
    </w:p>
    <w:p w14:paraId="5B3517D7" w14:textId="23EF69AE" w:rsidR="002D10DB" w:rsidRDefault="002D10DB" w:rsidP="002D10DB">
      <w:pPr>
        <w:pStyle w:val="Default"/>
        <w:jc w:val="both"/>
        <w:rPr>
          <w:sz w:val="23"/>
          <w:szCs w:val="23"/>
          <w:lang w:val="uk-UA" w:eastAsia="uk-UA"/>
        </w:rPr>
      </w:pPr>
      <w:r w:rsidRPr="002D10DB">
        <w:rPr>
          <w:b/>
          <w:bCs/>
          <w:sz w:val="23"/>
          <w:szCs w:val="23"/>
          <w:lang w:val="uk-UA" w:eastAsia="uk-UA"/>
        </w:rPr>
        <w:t>1</w:t>
      </w:r>
      <w:r w:rsidR="00E54951">
        <w:rPr>
          <w:b/>
          <w:bCs/>
          <w:sz w:val="23"/>
          <w:szCs w:val="23"/>
          <w:lang w:val="uk-UA" w:eastAsia="uk-UA"/>
        </w:rPr>
        <w:t>2</w:t>
      </w:r>
      <w:r w:rsidRPr="002D10DB">
        <w:rPr>
          <w:b/>
          <w:bCs/>
          <w:sz w:val="23"/>
          <w:szCs w:val="23"/>
          <w:lang w:val="uk-UA" w:eastAsia="uk-UA"/>
        </w:rPr>
        <w:t>.</w:t>
      </w:r>
      <w:r w:rsidRPr="002D10DB">
        <w:rPr>
          <w:b/>
          <w:bCs/>
          <w:sz w:val="23"/>
          <w:szCs w:val="23"/>
          <w:lang w:val="uk-UA" w:eastAsia="uk-UA"/>
        </w:rPr>
        <w:tab/>
        <w:t>Розмір компенсації Клієнту за недодержанням Постачальником якості надання комерційних послуг:</w:t>
      </w:r>
      <w:r w:rsidRPr="002D10DB">
        <w:rPr>
          <w:sz w:val="23"/>
          <w:szCs w:val="23"/>
          <w:lang w:val="uk-UA" w:eastAsia="uk-UA"/>
        </w:rPr>
        <w:t xml:space="preserve"> </w:t>
      </w:r>
    </w:p>
    <w:p w14:paraId="7A2937A5" w14:textId="2EC5D348" w:rsidR="002D10DB" w:rsidRPr="002D10DB" w:rsidRDefault="002D10DB" w:rsidP="002D10DB">
      <w:pPr>
        <w:pStyle w:val="Default"/>
        <w:jc w:val="both"/>
        <w:rPr>
          <w:sz w:val="23"/>
          <w:szCs w:val="23"/>
          <w:lang w:val="uk-UA" w:eastAsia="uk-UA"/>
        </w:rPr>
      </w:pPr>
      <w:r w:rsidRPr="002D10DB">
        <w:rPr>
          <w:sz w:val="23"/>
          <w:szCs w:val="23"/>
          <w:lang w:val="uk-UA" w:eastAsia="uk-UA"/>
        </w:rPr>
        <w:t>Надається в обсягах та у порядку, визначеному Регулятором, який розміщується на офіційному веб-сайті</w:t>
      </w:r>
      <w:r w:rsidR="00C407D9">
        <w:rPr>
          <w:sz w:val="23"/>
          <w:szCs w:val="23"/>
          <w:lang w:val="uk-UA" w:eastAsia="uk-UA"/>
        </w:rPr>
        <w:t>.</w:t>
      </w:r>
    </w:p>
    <w:p w14:paraId="1A48A03E" w14:textId="77777777" w:rsidR="002D10DB" w:rsidRPr="002D10DB" w:rsidRDefault="002D10DB" w:rsidP="002D10DB">
      <w:pPr>
        <w:pStyle w:val="Default"/>
        <w:jc w:val="both"/>
        <w:rPr>
          <w:sz w:val="23"/>
          <w:szCs w:val="23"/>
          <w:lang w:val="uk-UA" w:eastAsia="uk-UA"/>
        </w:rPr>
      </w:pPr>
    </w:p>
    <w:p w14:paraId="1CC70A44" w14:textId="476A559F" w:rsidR="002D10DB" w:rsidRDefault="002D10DB" w:rsidP="002D10DB">
      <w:pPr>
        <w:pStyle w:val="Default"/>
        <w:jc w:val="both"/>
        <w:rPr>
          <w:sz w:val="23"/>
          <w:szCs w:val="23"/>
          <w:lang w:val="uk-UA" w:eastAsia="uk-UA"/>
        </w:rPr>
      </w:pPr>
      <w:r w:rsidRPr="002D10DB">
        <w:rPr>
          <w:b/>
          <w:bCs/>
          <w:sz w:val="23"/>
          <w:szCs w:val="23"/>
          <w:lang w:val="uk-UA" w:eastAsia="uk-UA"/>
        </w:rPr>
        <w:t>1</w:t>
      </w:r>
      <w:r w:rsidR="00E54951">
        <w:rPr>
          <w:b/>
          <w:bCs/>
          <w:sz w:val="23"/>
          <w:szCs w:val="23"/>
          <w:lang w:val="uk-UA" w:eastAsia="uk-UA"/>
        </w:rPr>
        <w:t>3</w:t>
      </w:r>
      <w:r w:rsidRPr="002D10DB">
        <w:rPr>
          <w:b/>
          <w:bCs/>
          <w:sz w:val="23"/>
          <w:szCs w:val="23"/>
          <w:lang w:val="uk-UA" w:eastAsia="uk-UA"/>
        </w:rPr>
        <w:t>.</w:t>
      </w:r>
      <w:r w:rsidRPr="002D10DB">
        <w:rPr>
          <w:b/>
          <w:bCs/>
          <w:sz w:val="23"/>
          <w:szCs w:val="23"/>
          <w:lang w:val="uk-UA" w:eastAsia="uk-UA"/>
        </w:rPr>
        <w:tab/>
        <w:t>Термін дії дійсної комерційної пропозиції:</w:t>
      </w:r>
      <w:r w:rsidRPr="002D10DB">
        <w:rPr>
          <w:sz w:val="23"/>
          <w:szCs w:val="23"/>
          <w:lang w:val="uk-UA" w:eastAsia="uk-UA"/>
        </w:rPr>
        <w:t xml:space="preserve"> з </w:t>
      </w:r>
      <w:r>
        <w:rPr>
          <w:sz w:val="23"/>
          <w:szCs w:val="23"/>
          <w:lang w:val="uk-UA" w:eastAsia="uk-UA"/>
        </w:rPr>
        <w:t>___</w:t>
      </w:r>
      <w:r w:rsidRPr="002D10DB">
        <w:rPr>
          <w:sz w:val="23"/>
          <w:szCs w:val="23"/>
          <w:lang w:val="uk-UA" w:eastAsia="uk-UA"/>
        </w:rPr>
        <w:t>.</w:t>
      </w:r>
      <w:r>
        <w:rPr>
          <w:sz w:val="23"/>
          <w:szCs w:val="23"/>
          <w:lang w:val="uk-UA" w:eastAsia="uk-UA"/>
        </w:rPr>
        <w:t>___</w:t>
      </w:r>
      <w:r w:rsidRPr="002D10DB">
        <w:rPr>
          <w:sz w:val="23"/>
          <w:szCs w:val="23"/>
          <w:lang w:val="uk-UA" w:eastAsia="uk-UA"/>
        </w:rPr>
        <w:t>.202</w:t>
      </w:r>
      <w:r w:rsidR="002B4EEF" w:rsidRPr="002B4EEF">
        <w:rPr>
          <w:sz w:val="23"/>
          <w:szCs w:val="23"/>
          <w:lang w:val="uk-UA" w:eastAsia="uk-UA"/>
        </w:rPr>
        <w:t>_</w:t>
      </w:r>
      <w:r w:rsidRPr="002D10DB">
        <w:rPr>
          <w:sz w:val="23"/>
          <w:szCs w:val="23"/>
          <w:lang w:val="uk-UA" w:eastAsia="uk-UA"/>
        </w:rPr>
        <w:t xml:space="preserve"> р. до </w:t>
      </w:r>
      <w:r>
        <w:rPr>
          <w:sz w:val="23"/>
          <w:szCs w:val="23"/>
          <w:lang w:val="uk-UA" w:eastAsia="uk-UA"/>
        </w:rPr>
        <w:t>___</w:t>
      </w:r>
      <w:r w:rsidRPr="002D10DB">
        <w:rPr>
          <w:sz w:val="23"/>
          <w:szCs w:val="23"/>
          <w:lang w:val="uk-UA" w:eastAsia="uk-UA"/>
        </w:rPr>
        <w:t>.</w:t>
      </w:r>
      <w:r>
        <w:rPr>
          <w:sz w:val="23"/>
          <w:szCs w:val="23"/>
          <w:lang w:val="uk-UA" w:eastAsia="uk-UA"/>
        </w:rPr>
        <w:t>___</w:t>
      </w:r>
      <w:r w:rsidRPr="002D10DB">
        <w:rPr>
          <w:sz w:val="23"/>
          <w:szCs w:val="23"/>
          <w:lang w:val="uk-UA" w:eastAsia="uk-UA"/>
        </w:rPr>
        <w:t>.202</w:t>
      </w:r>
      <w:r w:rsidR="002B4EEF" w:rsidRPr="0050692A">
        <w:rPr>
          <w:sz w:val="23"/>
          <w:szCs w:val="23"/>
          <w:lang w:val="uk-UA" w:eastAsia="uk-UA"/>
        </w:rPr>
        <w:t>_</w:t>
      </w:r>
      <w:r w:rsidRPr="002D10DB">
        <w:rPr>
          <w:sz w:val="23"/>
          <w:szCs w:val="23"/>
          <w:lang w:val="uk-UA" w:eastAsia="uk-UA"/>
        </w:rPr>
        <w:t xml:space="preserve"> р.</w:t>
      </w:r>
    </w:p>
    <w:p w14:paraId="128D6337" w14:textId="77777777" w:rsidR="002D10DB" w:rsidRPr="002D10DB" w:rsidRDefault="002D10DB" w:rsidP="002D10DB">
      <w:pPr>
        <w:pStyle w:val="Default"/>
        <w:jc w:val="both"/>
        <w:rPr>
          <w:sz w:val="23"/>
          <w:szCs w:val="23"/>
          <w:lang w:val="uk-UA" w:eastAsia="uk-UA"/>
        </w:rPr>
      </w:pPr>
      <w:r w:rsidRPr="002D10DB">
        <w:rPr>
          <w:sz w:val="23"/>
          <w:szCs w:val="23"/>
          <w:lang w:val="uk-UA" w:eastAsia="uk-UA"/>
        </w:rPr>
        <w:t>Комерційна пропозиція вважається продовженою на кожний наступний квартал, якщо не пізніше, ніж за 20 днів до кінця кварталу Постачальник не повідомив Клієнта про внесення змін до комерційної пропозиції та/або викладення її в новій редакції.</w:t>
      </w:r>
    </w:p>
    <w:p w14:paraId="5523F472" w14:textId="77777777" w:rsidR="002D10DB" w:rsidRPr="002D10DB" w:rsidRDefault="002D10DB" w:rsidP="002D10DB">
      <w:pPr>
        <w:pStyle w:val="Default"/>
        <w:jc w:val="both"/>
        <w:rPr>
          <w:sz w:val="23"/>
          <w:szCs w:val="23"/>
          <w:lang w:val="uk-UA" w:eastAsia="uk-UA"/>
        </w:rPr>
      </w:pPr>
      <w:r w:rsidRPr="002D10DB">
        <w:rPr>
          <w:sz w:val="23"/>
          <w:szCs w:val="23"/>
          <w:lang w:val="uk-UA" w:eastAsia="uk-UA"/>
        </w:rPr>
        <w:t>У випадку зміни комерційної пропозиції, Клієнт має або погодитись з запропонованою Постачальником комерційною пропозицією в новій редакції (шляхом її підписання або здійснення оплати рахунку на суми авансу, що буде розрахований відповідно до комерційної пропозиції в новій редакції) або надати письмові заперечення. Ненадання Клієнтом Постачальнику письмових заперечень проти продовження договірних відносин на умовах нової комерційної пропозиції для Клієнтів в новій редакції, та продовження фактичного споживання Клієнтом електричної енергії – засвідчує факт погодження Клієнта з комерційною пропозицією в новій редакції та прийняттям на себе нових (змінених) зобов’язальних умов.</w:t>
      </w:r>
    </w:p>
    <w:p w14:paraId="5F658D7B" w14:textId="23658601" w:rsidR="002D10DB" w:rsidRDefault="002D10DB" w:rsidP="002D10DB">
      <w:pPr>
        <w:pStyle w:val="Default"/>
        <w:jc w:val="both"/>
        <w:rPr>
          <w:sz w:val="23"/>
          <w:szCs w:val="23"/>
          <w:lang w:val="uk-UA" w:eastAsia="uk-UA"/>
        </w:rPr>
      </w:pPr>
      <w:r w:rsidRPr="002D10DB">
        <w:rPr>
          <w:sz w:val="23"/>
          <w:szCs w:val="23"/>
          <w:lang w:val="uk-UA" w:eastAsia="uk-UA"/>
        </w:rPr>
        <w:t>Якщо Клієнт не погодився з запропонованою Постачальником комерційною пропозицією в новій редакції, та повідомив про це Постачальника письмово протягом 10-ти робочих днів з дня отримання Клієнтом повідомлення про внесення змін до комерційної пропозиції - дія Договору про постачання електричної енергії споживачу припиняється на 21-й день з дня офіційного оприлюднення на веб-сайті Постачальника Повідомлення про зміни до публічної комерційної пропозиції та викладення її в новій редакції, або отримання індивідуального письмового повідомлення, без необхідності додаткового повідомлення Сторонами один одного та без необхідності укладення додаткових угод.</w:t>
      </w:r>
    </w:p>
    <w:p w14:paraId="08D2A2F7" w14:textId="77777777" w:rsidR="002D10DB" w:rsidRPr="002D10DB" w:rsidRDefault="002D10DB" w:rsidP="002D10DB">
      <w:pPr>
        <w:pStyle w:val="Default"/>
        <w:jc w:val="both"/>
        <w:rPr>
          <w:sz w:val="23"/>
          <w:szCs w:val="23"/>
          <w:lang w:val="uk-UA" w:eastAsia="uk-UA"/>
        </w:rPr>
      </w:pPr>
    </w:p>
    <w:p w14:paraId="2D65AC1B" w14:textId="17D1768F" w:rsidR="002D10DB" w:rsidRDefault="002D10DB" w:rsidP="002D10DB">
      <w:pPr>
        <w:pStyle w:val="Default"/>
        <w:jc w:val="both"/>
        <w:rPr>
          <w:sz w:val="23"/>
          <w:szCs w:val="23"/>
          <w:lang w:val="uk-UA" w:eastAsia="uk-UA"/>
        </w:rPr>
      </w:pPr>
      <w:r w:rsidRPr="002D10DB">
        <w:rPr>
          <w:b/>
          <w:bCs/>
          <w:sz w:val="23"/>
          <w:szCs w:val="23"/>
          <w:lang w:val="uk-UA" w:eastAsia="uk-UA"/>
        </w:rPr>
        <w:t>1</w:t>
      </w:r>
      <w:r w:rsidR="00E54951">
        <w:rPr>
          <w:b/>
          <w:bCs/>
          <w:sz w:val="23"/>
          <w:szCs w:val="23"/>
          <w:lang w:val="uk-UA" w:eastAsia="uk-UA"/>
        </w:rPr>
        <w:t>4</w:t>
      </w:r>
      <w:r w:rsidRPr="002D10DB">
        <w:rPr>
          <w:b/>
          <w:bCs/>
          <w:sz w:val="23"/>
          <w:szCs w:val="23"/>
          <w:lang w:val="uk-UA" w:eastAsia="uk-UA"/>
        </w:rPr>
        <w:t>.</w:t>
      </w:r>
      <w:r w:rsidRPr="002D10DB">
        <w:rPr>
          <w:b/>
          <w:bCs/>
          <w:sz w:val="23"/>
          <w:szCs w:val="23"/>
          <w:lang w:val="uk-UA" w:eastAsia="uk-UA"/>
        </w:rPr>
        <w:tab/>
        <w:t>Термін дії договору про постачання електричної енергії:</w:t>
      </w:r>
      <w:r w:rsidRPr="002D10DB">
        <w:rPr>
          <w:sz w:val="23"/>
          <w:szCs w:val="23"/>
          <w:lang w:val="uk-UA" w:eastAsia="uk-UA"/>
        </w:rPr>
        <w:t xml:space="preserve"> </w:t>
      </w:r>
    </w:p>
    <w:p w14:paraId="55F1A03E" w14:textId="13C2A5F7" w:rsidR="002D10DB" w:rsidRPr="002D10DB" w:rsidRDefault="002D10DB" w:rsidP="002D10DB">
      <w:pPr>
        <w:pStyle w:val="Default"/>
        <w:jc w:val="both"/>
        <w:rPr>
          <w:sz w:val="23"/>
          <w:szCs w:val="23"/>
          <w:lang w:val="uk-UA" w:eastAsia="uk-UA"/>
        </w:rPr>
      </w:pPr>
      <w:r w:rsidRPr="002D10DB">
        <w:rPr>
          <w:sz w:val="23"/>
          <w:szCs w:val="23"/>
          <w:lang w:val="uk-UA" w:eastAsia="uk-UA"/>
        </w:rPr>
        <w:t>Договір про постачання електричної енергії Клієнту набирає чинності з дати підписання Клієнтом заяви–приєднання до договору і укладається на строк до</w:t>
      </w:r>
    </w:p>
    <w:p w14:paraId="319D4E54" w14:textId="627A2B8E" w:rsidR="002D10DB" w:rsidRPr="002D10DB" w:rsidRDefault="002D10DB" w:rsidP="002D10DB">
      <w:pPr>
        <w:pStyle w:val="Default"/>
        <w:jc w:val="both"/>
        <w:rPr>
          <w:sz w:val="23"/>
          <w:szCs w:val="23"/>
          <w:lang w:val="uk-UA" w:eastAsia="uk-UA"/>
        </w:rPr>
      </w:pPr>
      <w:r w:rsidRPr="002D10DB">
        <w:rPr>
          <w:sz w:val="23"/>
          <w:szCs w:val="23"/>
          <w:lang w:val="uk-UA" w:eastAsia="uk-UA"/>
        </w:rPr>
        <w:t>«31» грудня 202</w:t>
      </w:r>
      <w:r w:rsidR="0050692A">
        <w:rPr>
          <w:sz w:val="23"/>
          <w:szCs w:val="23"/>
          <w:lang w:val="en-US" w:eastAsia="uk-UA"/>
        </w:rPr>
        <w:t>_</w:t>
      </w:r>
      <w:r w:rsidRPr="002D10DB">
        <w:rPr>
          <w:sz w:val="23"/>
          <w:szCs w:val="23"/>
          <w:lang w:val="uk-UA" w:eastAsia="uk-UA"/>
        </w:rPr>
        <w:t xml:space="preserve"> р., а в частині розрахунків (в т.ч. повної оплати заборгованості, включаючи нарахування пені та штрафні санкції) договір діє до повного їх виконання. Договір вважається продовженим на кожний наступний календарний рік, якщо за 21 (двадцять один) день до закінчення терміну дії Договору жодною із Сторін не буде заявлено про припинення його дії або перегляд його умов, але в ніякому разі не більше ніж на термін дії Договору Клієнта з Оператором системи про надання послуг розподілу (передачі) електричної енергії.</w:t>
      </w:r>
    </w:p>
    <w:p w14:paraId="7AD2C441" w14:textId="68A0CE68" w:rsidR="002D10DB" w:rsidRPr="002D10DB" w:rsidRDefault="002D10DB" w:rsidP="002D10DB">
      <w:pPr>
        <w:pStyle w:val="Default"/>
        <w:jc w:val="both"/>
        <w:rPr>
          <w:sz w:val="23"/>
          <w:szCs w:val="23"/>
          <w:lang w:val="uk-UA" w:eastAsia="uk-UA"/>
        </w:rPr>
      </w:pPr>
      <w:r w:rsidRPr="002D10DB">
        <w:rPr>
          <w:sz w:val="23"/>
          <w:szCs w:val="23"/>
          <w:lang w:val="uk-UA" w:eastAsia="uk-UA"/>
        </w:rPr>
        <w:t>1</w:t>
      </w:r>
      <w:r w:rsidR="00E54951">
        <w:rPr>
          <w:sz w:val="23"/>
          <w:szCs w:val="23"/>
          <w:lang w:val="uk-UA" w:eastAsia="uk-UA"/>
        </w:rPr>
        <w:t>4</w:t>
      </w:r>
      <w:r w:rsidRPr="002D10DB">
        <w:rPr>
          <w:sz w:val="23"/>
          <w:szCs w:val="23"/>
          <w:lang w:val="uk-UA" w:eastAsia="uk-UA"/>
        </w:rPr>
        <w:t>.1.</w:t>
      </w:r>
      <w:r w:rsidRPr="002D10DB">
        <w:rPr>
          <w:sz w:val="23"/>
          <w:szCs w:val="23"/>
          <w:lang w:val="uk-UA" w:eastAsia="uk-UA"/>
        </w:rPr>
        <w:tab/>
        <w:t>Постачальник має право в односторонньому порядку розірвати Договір достроково, повідомивши Клієнта про це письмово за 20 днів до передбачуваної дати розірвання (припинення) договору, у випадках якщо:</w:t>
      </w:r>
    </w:p>
    <w:p w14:paraId="02BFE65B" w14:textId="77777777" w:rsidR="002D10DB" w:rsidRPr="002D10DB" w:rsidRDefault="002D10DB" w:rsidP="002D10DB">
      <w:pPr>
        <w:pStyle w:val="Default"/>
        <w:jc w:val="both"/>
        <w:rPr>
          <w:sz w:val="23"/>
          <w:szCs w:val="23"/>
          <w:lang w:val="uk-UA" w:eastAsia="uk-UA"/>
        </w:rPr>
      </w:pPr>
      <w:r w:rsidRPr="002D10DB">
        <w:rPr>
          <w:sz w:val="23"/>
          <w:szCs w:val="23"/>
          <w:lang w:val="uk-UA" w:eastAsia="uk-UA"/>
        </w:rPr>
        <w:t>-</w:t>
      </w:r>
      <w:r w:rsidRPr="002D10DB">
        <w:rPr>
          <w:sz w:val="23"/>
          <w:szCs w:val="23"/>
          <w:lang w:val="uk-UA" w:eastAsia="uk-UA"/>
        </w:rPr>
        <w:tab/>
        <w:t>Клієнт прострочив оплату за постачання електричної енергії згідно з договором, за умови, що постачальник здійснив попередження Клієнту про можливе розірвання цього договору;</w:t>
      </w:r>
    </w:p>
    <w:p w14:paraId="16F4E48A" w14:textId="77777777" w:rsidR="002D10DB" w:rsidRPr="002D10DB" w:rsidRDefault="002D10DB" w:rsidP="002D10DB">
      <w:pPr>
        <w:pStyle w:val="Default"/>
        <w:jc w:val="both"/>
        <w:rPr>
          <w:sz w:val="23"/>
          <w:szCs w:val="23"/>
          <w:lang w:val="uk-UA" w:eastAsia="uk-UA"/>
        </w:rPr>
      </w:pPr>
      <w:r w:rsidRPr="002D10DB">
        <w:rPr>
          <w:sz w:val="23"/>
          <w:szCs w:val="23"/>
          <w:lang w:val="uk-UA" w:eastAsia="uk-UA"/>
        </w:rPr>
        <w:lastRenderedPageBreak/>
        <w:t>-</w:t>
      </w:r>
      <w:r w:rsidRPr="002D10DB">
        <w:rPr>
          <w:sz w:val="23"/>
          <w:szCs w:val="23"/>
          <w:lang w:val="uk-UA" w:eastAsia="uk-UA"/>
        </w:rPr>
        <w:tab/>
        <w:t>Клієнт іншим чином суттєво порушив умови цього договору, і не вжив заходів щодо усунення такого порушення в строк, що становить 10 (десять) робочих днів. Припинення дії договору в такому разі, здійснюється в односторонньому порядку, без необхідності отримання згоди на це від Клієнта, через 20 днів з моменту направлення Постачальником Клієнту Повідомлення про припинення договору у зв`язку з обставинами, зазначеними в п.13.1 Комерційної пропозиції. До передбачуваної дати розірвання (припинення договору) Постачальник повідомляє про це, відповідного Оператора системи та АКО.</w:t>
      </w:r>
    </w:p>
    <w:p w14:paraId="4BF02D71" w14:textId="3FBD5A3E" w:rsidR="002D10DB" w:rsidRPr="002D10DB" w:rsidRDefault="002D10DB" w:rsidP="002D10DB">
      <w:pPr>
        <w:pStyle w:val="Default"/>
        <w:jc w:val="both"/>
        <w:rPr>
          <w:sz w:val="23"/>
          <w:szCs w:val="23"/>
          <w:lang w:val="uk-UA" w:eastAsia="uk-UA"/>
        </w:rPr>
      </w:pPr>
      <w:r w:rsidRPr="002D10DB">
        <w:rPr>
          <w:sz w:val="23"/>
          <w:szCs w:val="23"/>
          <w:lang w:val="uk-UA" w:eastAsia="uk-UA"/>
        </w:rPr>
        <w:t>1</w:t>
      </w:r>
      <w:r w:rsidR="00E54951">
        <w:rPr>
          <w:sz w:val="23"/>
          <w:szCs w:val="23"/>
          <w:lang w:val="uk-UA" w:eastAsia="uk-UA"/>
        </w:rPr>
        <w:t>4</w:t>
      </w:r>
      <w:r w:rsidRPr="002D10DB">
        <w:rPr>
          <w:sz w:val="23"/>
          <w:szCs w:val="23"/>
          <w:lang w:val="uk-UA" w:eastAsia="uk-UA"/>
        </w:rPr>
        <w:t>.2.</w:t>
      </w:r>
      <w:r w:rsidRPr="002D10DB">
        <w:rPr>
          <w:sz w:val="23"/>
          <w:szCs w:val="23"/>
          <w:lang w:val="uk-UA" w:eastAsia="uk-UA"/>
        </w:rPr>
        <w:tab/>
        <w:t>Дія цього Договору також припиняється у наступних випадках: анулювання ліцензії Постачальника на постачання, банкрутства або припинення господарської діяльності Постачальника. Дія цього Договору також припиняється у випадку отримання документально підтверджених відомостей зміни власника  (користувача) об'єкта Клієнта; якщо інше не буде узгоджено додатково Сторонами, припинення дії договору в такому разі, здійснюється в односторонньому порядку через 20 днів з моменту направлення Постачальником Клієнту Повідомлення про припинення договору у зв`язку з отриманням Постачальником документально підтверджених відомостей про зміну власника Об`єкту від Клієнта, або нового власника (користувача) Об`єкту.</w:t>
      </w:r>
    </w:p>
    <w:p w14:paraId="580C3871" w14:textId="77777777" w:rsidR="002D10DB" w:rsidRPr="002D10DB" w:rsidRDefault="002D10DB" w:rsidP="002D10DB">
      <w:pPr>
        <w:pStyle w:val="Default"/>
        <w:jc w:val="both"/>
        <w:rPr>
          <w:sz w:val="23"/>
          <w:szCs w:val="23"/>
          <w:lang w:val="uk-UA" w:eastAsia="uk-UA"/>
        </w:rPr>
      </w:pPr>
    </w:p>
    <w:p w14:paraId="76AD41CC" w14:textId="1DE503FF" w:rsidR="002D10DB" w:rsidRDefault="002D10DB" w:rsidP="002D10DB">
      <w:pPr>
        <w:pStyle w:val="Default"/>
        <w:jc w:val="both"/>
        <w:rPr>
          <w:sz w:val="23"/>
          <w:szCs w:val="23"/>
          <w:lang w:val="uk-UA" w:eastAsia="uk-UA"/>
        </w:rPr>
      </w:pPr>
      <w:r w:rsidRPr="002D10DB">
        <w:rPr>
          <w:b/>
          <w:bCs/>
          <w:sz w:val="23"/>
          <w:szCs w:val="23"/>
          <w:lang w:val="uk-UA" w:eastAsia="uk-UA"/>
        </w:rPr>
        <w:t>1</w:t>
      </w:r>
      <w:r w:rsidR="000A1878">
        <w:rPr>
          <w:b/>
          <w:bCs/>
          <w:sz w:val="23"/>
          <w:szCs w:val="23"/>
          <w:lang w:val="uk-UA" w:eastAsia="uk-UA"/>
        </w:rPr>
        <w:t>5</w:t>
      </w:r>
      <w:r w:rsidRPr="002D10DB">
        <w:rPr>
          <w:b/>
          <w:bCs/>
          <w:sz w:val="23"/>
          <w:szCs w:val="23"/>
          <w:lang w:val="uk-UA" w:eastAsia="uk-UA"/>
        </w:rPr>
        <w:t>.</w:t>
      </w:r>
      <w:r w:rsidRPr="002D10DB">
        <w:rPr>
          <w:b/>
          <w:bCs/>
          <w:sz w:val="23"/>
          <w:szCs w:val="23"/>
          <w:lang w:val="uk-UA" w:eastAsia="uk-UA"/>
        </w:rPr>
        <w:tab/>
        <w:t>Штраф за дострокове припинення дії договору:</w:t>
      </w:r>
      <w:r w:rsidRPr="002D10DB">
        <w:rPr>
          <w:sz w:val="23"/>
          <w:szCs w:val="23"/>
          <w:lang w:val="uk-UA" w:eastAsia="uk-UA"/>
        </w:rPr>
        <w:t xml:space="preserve"> </w:t>
      </w:r>
    </w:p>
    <w:p w14:paraId="67DE3292" w14:textId="6FC2372D" w:rsidR="002D10DB" w:rsidRDefault="002D10DB" w:rsidP="002D10DB">
      <w:pPr>
        <w:pStyle w:val="Default"/>
        <w:jc w:val="both"/>
        <w:rPr>
          <w:sz w:val="23"/>
          <w:szCs w:val="23"/>
          <w:lang w:val="uk-UA" w:eastAsia="uk-UA"/>
        </w:rPr>
      </w:pPr>
      <w:r w:rsidRPr="002D10DB">
        <w:rPr>
          <w:sz w:val="23"/>
          <w:szCs w:val="23"/>
          <w:lang w:val="uk-UA" w:eastAsia="uk-UA"/>
        </w:rPr>
        <w:t>У разі дострокового припинення (розірвання) Договору про постачання електричної енергії за ініціативою Клієнта, Клієнт зобов'язаний сплатити Постачальнику штраф у розмірі вартості електричної енергії, замовленої Клієнтом, як прогнозований договірний обсяг споживання в місяці, в якому Постачальником було отримано повідомлення про дострокове припинення (розірвання) договору. Прогнозований договірний обсяг споживання визначається відповідно до Додатку 3 «Обсяги постачання електричної енергії Клієнту». Штраф сплачується в тому випадку коли повідомлення Клієнта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випадку припинення (розірвання) договору сторони домовились, що у разі звернення Клієнта щодо повернення йому переплати, яка виникла за цим договором, постачальник зобов’язаний повернути суму переплачених коштів не пізніше, ніж протягом 6 тижнів.</w:t>
      </w:r>
    </w:p>
    <w:p w14:paraId="08CBB429" w14:textId="77777777" w:rsidR="002D10DB" w:rsidRPr="002D10DB" w:rsidRDefault="002D10DB" w:rsidP="002D10DB">
      <w:pPr>
        <w:pStyle w:val="Default"/>
        <w:jc w:val="both"/>
        <w:rPr>
          <w:sz w:val="23"/>
          <w:szCs w:val="23"/>
          <w:lang w:val="uk-UA" w:eastAsia="uk-UA"/>
        </w:rPr>
      </w:pPr>
    </w:p>
    <w:p w14:paraId="5246FDFA" w14:textId="2C452EC8" w:rsidR="002D10DB" w:rsidRDefault="002D10DB" w:rsidP="002D10DB">
      <w:pPr>
        <w:pStyle w:val="Default"/>
        <w:jc w:val="both"/>
        <w:rPr>
          <w:sz w:val="23"/>
          <w:szCs w:val="23"/>
          <w:lang w:val="uk-UA" w:eastAsia="uk-UA"/>
        </w:rPr>
      </w:pPr>
      <w:r w:rsidRPr="002D10DB">
        <w:rPr>
          <w:b/>
          <w:bCs/>
          <w:sz w:val="23"/>
          <w:szCs w:val="23"/>
          <w:lang w:val="uk-UA" w:eastAsia="uk-UA"/>
        </w:rPr>
        <w:t>1</w:t>
      </w:r>
      <w:r w:rsidR="00E7548E">
        <w:rPr>
          <w:b/>
          <w:bCs/>
          <w:sz w:val="23"/>
          <w:szCs w:val="23"/>
          <w:lang w:val="uk-UA" w:eastAsia="uk-UA"/>
        </w:rPr>
        <w:t>6</w:t>
      </w:r>
      <w:r w:rsidRPr="002D10DB">
        <w:rPr>
          <w:b/>
          <w:bCs/>
          <w:sz w:val="23"/>
          <w:szCs w:val="23"/>
          <w:lang w:val="uk-UA" w:eastAsia="uk-UA"/>
        </w:rPr>
        <w:t>.</w:t>
      </w:r>
      <w:r w:rsidRPr="002D10DB">
        <w:rPr>
          <w:b/>
          <w:bCs/>
          <w:sz w:val="23"/>
          <w:szCs w:val="23"/>
          <w:lang w:val="uk-UA" w:eastAsia="uk-UA"/>
        </w:rPr>
        <w:tab/>
        <w:t>Урахування пільг, субсидій:</w:t>
      </w:r>
      <w:r w:rsidRPr="002D10DB">
        <w:rPr>
          <w:sz w:val="23"/>
          <w:szCs w:val="23"/>
          <w:lang w:val="uk-UA" w:eastAsia="uk-UA"/>
        </w:rPr>
        <w:t xml:space="preserve"> Не надаються.</w:t>
      </w:r>
    </w:p>
    <w:p w14:paraId="532E6D53" w14:textId="77777777" w:rsidR="002D10DB" w:rsidRPr="002D10DB" w:rsidRDefault="002D10DB" w:rsidP="002D10DB">
      <w:pPr>
        <w:pStyle w:val="Default"/>
        <w:jc w:val="both"/>
        <w:rPr>
          <w:sz w:val="23"/>
          <w:szCs w:val="23"/>
          <w:lang w:val="uk-UA" w:eastAsia="uk-UA"/>
        </w:rPr>
      </w:pPr>
    </w:p>
    <w:p w14:paraId="088A5217" w14:textId="791364FB" w:rsidR="002D10DB" w:rsidRDefault="002D10DB" w:rsidP="002D10DB">
      <w:pPr>
        <w:pStyle w:val="Default"/>
        <w:jc w:val="both"/>
        <w:rPr>
          <w:sz w:val="23"/>
          <w:szCs w:val="23"/>
          <w:lang w:val="uk-UA" w:eastAsia="uk-UA"/>
        </w:rPr>
      </w:pPr>
      <w:r w:rsidRPr="002D10DB">
        <w:rPr>
          <w:b/>
          <w:bCs/>
          <w:sz w:val="23"/>
          <w:szCs w:val="23"/>
          <w:lang w:val="uk-UA" w:eastAsia="uk-UA"/>
        </w:rPr>
        <w:t>1</w:t>
      </w:r>
      <w:r w:rsidR="00E7548E">
        <w:rPr>
          <w:b/>
          <w:bCs/>
          <w:sz w:val="23"/>
          <w:szCs w:val="23"/>
          <w:lang w:val="uk-UA" w:eastAsia="uk-UA"/>
        </w:rPr>
        <w:t>7</w:t>
      </w:r>
      <w:r w:rsidRPr="002D10DB">
        <w:rPr>
          <w:b/>
          <w:bCs/>
          <w:sz w:val="23"/>
          <w:szCs w:val="23"/>
          <w:lang w:val="uk-UA" w:eastAsia="uk-UA"/>
        </w:rPr>
        <w:t>.</w:t>
      </w:r>
      <w:r w:rsidRPr="002D10DB">
        <w:rPr>
          <w:b/>
          <w:bCs/>
          <w:sz w:val="23"/>
          <w:szCs w:val="23"/>
          <w:lang w:val="uk-UA" w:eastAsia="uk-UA"/>
        </w:rPr>
        <w:tab/>
        <w:t xml:space="preserve">Можливість постачання захищеним Клієнтам: </w:t>
      </w:r>
      <w:r w:rsidRPr="002D10DB">
        <w:rPr>
          <w:sz w:val="23"/>
          <w:szCs w:val="23"/>
          <w:lang w:val="uk-UA" w:eastAsia="uk-UA"/>
        </w:rPr>
        <w:t>Клієнти, що визначені у встановленому законодавством порядку захищеними, повідомляють про це Постачальника у заяві-приєднання до Договору про постачання електричної енергії Клієнту.</w:t>
      </w:r>
    </w:p>
    <w:p w14:paraId="196156B4" w14:textId="77777777" w:rsidR="002D10DB" w:rsidRPr="002D10DB" w:rsidRDefault="002D10DB" w:rsidP="002D10DB">
      <w:pPr>
        <w:pStyle w:val="Default"/>
        <w:jc w:val="both"/>
        <w:rPr>
          <w:sz w:val="23"/>
          <w:szCs w:val="23"/>
          <w:lang w:val="uk-UA" w:eastAsia="uk-UA"/>
        </w:rPr>
      </w:pPr>
    </w:p>
    <w:p w14:paraId="3D7BEFE8" w14:textId="77777777" w:rsidR="002D10DB" w:rsidRPr="002D10DB" w:rsidRDefault="002D10DB" w:rsidP="002D10DB">
      <w:pPr>
        <w:pStyle w:val="Default"/>
        <w:jc w:val="both"/>
        <w:rPr>
          <w:b/>
          <w:bCs/>
          <w:sz w:val="23"/>
          <w:szCs w:val="23"/>
          <w:lang w:val="uk-UA" w:eastAsia="uk-UA"/>
        </w:rPr>
      </w:pPr>
      <w:r w:rsidRPr="002D10DB">
        <w:rPr>
          <w:b/>
          <w:bCs/>
          <w:sz w:val="23"/>
          <w:szCs w:val="23"/>
          <w:lang w:val="uk-UA" w:eastAsia="uk-UA"/>
        </w:rPr>
        <w:t>Інше:</w:t>
      </w:r>
    </w:p>
    <w:p w14:paraId="6409D930" w14:textId="2D56EC7A" w:rsidR="002D10DB" w:rsidRPr="002D10DB" w:rsidRDefault="002D10DB" w:rsidP="002D10DB">
      <w:pPr>
        <w:pStyle w:val="Default"/>
        <w:jc w:val="both"/>
        <w:rPr>
          <w:sz w:val="23"/>
          <w:szCs w:val="23"/>
          <w:lang w:val="uk-UA" w:eastAsia="uk-UA"/>
        </w:rPr>
      </w:pPr>
      <w:r w:rsidRPr="002D10DB">
        <w:rPr>
          <w:sz w:val="23"/>
          <w:szCs w:val="23"/>
          <w:lang w:val="uk-UA" w:eastAsia="uk-UA"/>
        </w:rPr>
        <w:t></w:t>
      </w:r>
      <w:r w:rsidRPr="002D10DB">
        <w:rPr>
          <w:sz w:val="23"/>
          <w:szCs w:val="23"/>
          <w:lang w:val="uk-UA" w:eastAsia="uk-UA"/>
        </w:rPr>
        <w:tab/>
        <w:t>За ініціативою однієї з сторін, Постачальник безоплатно надасть Клієнту оформлений акт звірки спожитої та оплаченої електричної енергії відповідно до отриманих фактичних показів засобу вимірювання Клієнта від Оператора системи.</w:t>
      </w:r>
    </w:p>
    <w:p w14:paraId="68DDFE78" w14:textId="15B64053" w:rsidR="002D10DB" w:rsidRPr="002D10DB" w:rsidRDefault="002D10DB" w:rsidP="002D10DB">
      <w:pPr>
        <w:pStyle w:val="Default"/>
        <w:jc w:val="both"/>
        <w:rPr>
          <w:sz w:val="23"/>
          <w:szCs w:val="23"/>
          <w:lang w:val="uk-UA" w:eastAsia="uk-UA"/>
        </w:rPr>
      </w:pPr>
      <w:r w:rsidRPr="002D10DB">
        <w:rPr>
          <w:sz w:val="23"/>
          <w:szCs w:val="23"/>
          <w:lang w:val="uk-UA" w:eastAsia="uk-UA"/>
        </w:rPr>
        <w:t></w:t>
      </w:r>
      <w:r w:rsidRPr="002D10DB">
        <w:rPr>
          <w:sz w:val="23"/>
          <w:szCs w:val="23"/>
          <w:lang w:val="uk-UA" w:eastAsia="uk-UA"/>
        </w:rPr>
        <w:tab/>
        <w:t>Про зміну будь-яких умов Договору Постачальник інформує Клієнта одним з наступних способів: оприлюднення на офіційному веб-сайті (якщо вносяться зміни в публічний договір); через особистий кабінет; засобами електронного зв’язку на електронну адресу; СМС- повідомлення.</w:t>
      </w:r>
    </w:p>
    <w:p w14:paraId="7761A9B1" w14:textId="77777777" w:rsidR="00B15613" w:rsidRDefault="00B15613" w:rsidP="00D46F70">
      <w:pPr>
        <w:pStyle w:val="Default"/>
        <w:jc w:val="both"/>
        <w:rPr>
          <w:i/>
          <w:sz w:val="23"/>
          <w:szCs w:val="23"/>
          <w:lang w:val="uk-UA" w:eastAsia="uk-UA"/>
        </w:rPr>
      </w:pPr>
    </w:p>
    <w:p w14:paraId="78B7F23E" w14:textId="77777777" w:rsidR="00D46F70" w:rsidRPr="00DF0EDA" w:rsidRDefault="004C4ADA" w:rsidP="004C4ADA">
      <w:pPr>
        <w:pStyle w:val="Default"/>
        <w:jc w:val="center"/>
        <w:rPr>
          <w:b/>
          <w:iCs/>
          <w:sz w:val="23"/>
          <w:szCs w:val="23"/>
          <w:lang w:val="uk-UA"/>
        </w:rPr>
      </w:pPr>
      <w:r w:rsidRPr="00DF0EDA">
        <w:rPr>
          <w:b/>
          <w:iCs/>
          <w:sz w:val="23"/>
          <w:szCs w:val="23"/>
          <w:lang w:val="uk-UA" w:eastAsia="uk-UA"/>
        </w:rPr>
        <w:t>ПІДПИСИ СТОРІН:</w:t>
      </w:r>
    </w:p>
    <w:tbl>
      <w:tblPr>
        <w:tblW w:w="9999" w:type="pct"/>
        <w:tblLook w:val="04A0" w:firstRow="1" w:lastRow="0" w:firstColumn="1" w:lastColumn="0" w:noHBand="0" w:noVBand="1"/>
      </w:tblPr>
      <w:tblGrid>
        <w:gridCol w:w="5232"/>
        <w:gridCol w:w="5232"/>
        <w:gridCol w:w="5233"/>
        <w:gridCol w:w="5233"/>
      </w:tblGrid>
      <w:tr w:rsidR="004C4ADA" w:rsidRPr="0001648A" w14:paraId="3CFAEB51" w14:textId="77777777" w:rsidTr="004C4ADA">
        <w:trPr>
          <w:gridAfter w:val="1"/>
          <w:wAfter w:w="1250" w:type="pct"/>
        </w:trPr>
        <w:tc>
          <w:tcPr>
            <w:tcW w:w="1250" w:type="pct"/>
          </w:tcPr>
          <w:p w14:paraId="43D539F9" w14:textId="77777777" w:rsidR="004C4ADA" w:rsidRPr="0001648A" w:rsidRDefault="004C4ADA" w:rsidP="004C4ADA">
            <w:pPr>
              <w:widowControl w:val="0"/>
              <w:tabs>
                <w:tab w:val="center" w:pos="2230"/>
                <w:tab w:val="left" w:pos="3482"/>
              </w:tabs>
              <w:snapToGrid w:val="0"/>
              <w:spacing w:before="120" w:after="120"/>
              <w:rPr>
                <w:rFonts w:eastAsia="Calibri"/>
                <w:b/>
                <w:bCs/>
                <w:sz w:val="22"/>
                <w:szCs w:val="22"/>
              </w:rPr>
            </w:pPr>
          </w:p>
        </w:tc>
        <w:tc>
          <w:tcPr>
            <w:tcW w:w="1250" w:type="pct"/>
            <w:shd w:val="clear" w:color="auto" w:fill="auto"/>
          </w:tcPr>
          <w:p w14:paraId="661DCC43" w14:textId="77777777" w:rsidR="004C4ADA" w:rsidRPr="0001648A" w:rsidRDefault="004C4ADA" w:rsidP="004C4ADA">
            <w:pPr>
              <w:widowControl w:val="0"/>
              <w:tabs>
                <w:tab w:val="center" w:pos="2230"/>
                <w:tab w:val="left" w:pos="3482"/>
              </w:tabs>
              <w:snapToGrid w:val="0"/>
              <w:spacing w:before="120" w:after="120"/>
              <w:rPr>
                <w:rFonts w:eastAsia="Calibri"/>
                <w:b/>
                <w:bCs/>
                <w:sz w:val="22"/>
                <w:szCs w:val="22"/>
              </w:rPr>
            </w:pPr>
          </w:p>
        </w:tc>
        <w:tc>
          <w:tcPr>
            <w:tcW w:w="1250" w:type="pct"/>
            <w:shd w:val="clear" w:color="auto" w:fill="auto"/>
          </w:tcPr>
          <w:p w14:paraId="20321922" w14:textId="77777777" w:rsidR="004C4ADA" w:rsidRPr="00237673" w:rsidRDefault="004C4ADA" w:rsidP="004C4ADA">
            <w:pPr>
              <w:widowControl w:val="0"/>
              <w:snapToGrid w:val="0"/>
              <w:spacing w:before="120" w:after="120"/>
              <w:rPr>
                <w:rFonts w:eastAsia="Calibri"/>
                <w:b/>
                <w:sz w:val="22"/>
                <w:szCs w:val="22"/>
              </w:rPr>
            </w:pPr>
          </w:p>
        </w:tc>
      </w:tr>
      <w:tr w:rsidR="004C4ADA" w:rsidRPr="0001648A" w14:paraId="3F458C95" w14:textId="77777777" w:rsidTr="004C4ADA">
        <w:tc>
          <w:tcPr>
            <w:tcW w:w="1250" w:type="pct"/>
          </w:tcPr>
          <w:p w14:paraId="01226496" w14:textId="77777777" w:rsidR="004C4ADA" w:rsidRPr="009D6F27" w:rsidRDefault="004C4ADA" w:rsidP="00610B23">
            <w:pPr>
              <w:tabs>
                <w:tab w:val="left" w:pos="0"/>
                <w:tab w:val="left" w:pos="709"/>
                <w:tab w:val="left" w:pos="10206"/>
              </w:tabs>
              <w:contextualSpacing/>
              <w:jc w:val="center"/>
            </w:pPr>
            <w:r w:rsidRPr="009D6F27">
              <w:rPr>
                <w:b/>
              </w:rPr>
              <w:t>Постачальник</w:t>
            </w:r>
          </w:p>
          <w:p w14:paraId="1F798006" w14:textId="77777777" w:rsidR="004C4ADA" w:rsidRPr="009D6F27" w:rsidRDefault="004C4ADA" w:rsidP="00DF0EDA">
            <w:pPr>
              <w:tabs>
                <w:tab w:val="left" w:pos="0"/>
                <w:tab w:val="left" w:pos="709"/>
                <w:tab w:val="left" w:pos="10206"/>
              </w:tabs>
              <w:contextualSpacing/>
              <w:jc w:val="center"/>
            </w:pPr>
            <w:r w:rsidRPr="009D6F27">
              <w:t xml:space="preserve">ТОВАРИСТВО З ОБМЕЖЕНОЮ </w:t>
            </w:r>
            <w:r w:rsidRPr="009D6F27">
              <w:br/>
              <w:t>ВІДПОВІДАЛЬНІСТЮ "ОПЕРАТОР ЕНЕРГІЇ"</w:t>
            </w:r>
          </w:p>
          <w:p w14:paraId="13311C22" w14:textId="77777777" w:rsidR="004C4ADA" w:rsidRDefault="004C4ADA" w:rsidP="00610B23">
            <w:pPr>
              <w:tabs>
                <w:tab w:val="left" w:pos="0"/>
                <w:tab w:val="left" w:pos="709"/>
                <w:tab w:val="left" w:pos="10206"/>
              </w:tabs>
              <w:contextualSpacing/>
            </w:pPr>
          </w:p>
          <w:p w14:paraId="5E10FAEF" w14:textId="77777777" w:rsidR="004C4ADA" w:rsidRPr="009D6F27" w:rsidRDefault="004C4ADA" w:rsidP="004C4ADA">
            <w:pPr>
              <w:tabs>
                <w:tab w:val="left" w:pos="0"/>
                <w:tab w:val="left" w:pos="709"/>
                <w:tab w:val="left" w:pos="10206"/>
              </w:tabs>
              <w:contextualSpacing/>
              <w:jc w:val="both"/>
            </w:pPr>
          </w:p>
          <w:p w14:paraId="4C779C52" w14:textId="77777777" w:rsidR="004C4ADA" w:rsidRPr="009D6F27" w:rsidRDefault="004C4ADA" w:rsidP="004C4ADA">
            <w:pPr>
              <w:tabs>
                <w:tab w:val="left" w:pos="0"/>
                <w:tab w:val="left" w:pos="709"/>
                <w:tab w:val="left" w:pos="10206"/>
              </w:tabs>
              <w:contextualSpacing/>
              <w:jc w:val="both"/>
            </w:pPr>
            <w:r w:rsidRPr="009D6F27">
              <w:t>_______________________ /Богданов Д.Б. /</w:t>
            </w:r>
          </w:p>
          <w:p w14:paraId="23B4D0C1" w14:textId="77777777" w:rsidR="004C4ADA" w:rsidRPr="009D6F27" w:rsidRDefault="004C4ADA" w:rsidP="004C4ADA">
            <w:pPr>
              <w:tabs>
                <w:tab w:val="left" w:pos="0"/>
                <w:tab w:val="left" w:pos="709"/>
                <w:tab w:val="left" w:pos="10206"/>
              </w:tabs>
              <w:contextualSpacing/>
              <w:jc w:val="both"/>
            </w:pPr>
            <w:r w:rsidRPr="009D6F27">
              <w:t>м.п.</w:t>
            </w:r>
          </w:p>
        </w:tc>
        <w:tc>
          <w:tcPr>
            <w:tcW w:w="1250" w:type="pct"/>
          </w:tcPr>
          <w:p w14:paraId="6AB94338" w14:textId="77777777" w:rsidR="004C4ADA" w:rsidRPr="009D6F27" w:rsidRDefault="004C4ADA" w:rsidP="00610B23">
            <w:pPr>
              <w:tabs>
                <w:tab w:val="left" w:pos="0"/>
                <w:tab w:val="left" w:pos="709"/>
                <w:tab w:val="left" w:pos="10206"/>
              </w:tabs>
              <w:contextualSpacing/>
              <w:jc w:val="center"/>
            </w:pPr>
            <w:r w:rsidRPr="009D6F27">
              <w:rPr>
                <w:b/>
              </w:rPr>
              <w:t>Споживач</w:t>
            </w:r>
          </w:p>
          <w:p w14:paraId="72A654A6" w14:textId="4952EFFC" w:rsidR="004C4ADA" w:rsidRDefault="004C4ADA" w:rsidP="00DF0EDA">
            <w:pPr>
              <w:tabs>
                <w:tab w:val="left" w:pos="0"/>
                <w:tab w:val="left" w:pos="709"/>
                <w:tab w:val="left" w:pos="10206"/>
              </w:tabs>
              <w:contextualSpacing/>
              <w:jc w:val="center"/>
            </w:pPr>
          </w:p>
          <w:p w14:paraId="0DCD6E84" w14:textId="3298CD68" w:rsidR="00124DDE" w:rsidRDefault="00124DDE" w:rsidP="004C4ADA">
            <w:pPr>
              <w:tabs>
                <w:tab w:val="left" w:pos="0"/>
                <w:tab w:val="left" w:pos="709"/>
                <w:tab w:val="left" w:pos="10206"/>
              </w:tabs>
              <w:contextualSpacing/>
              <w:jc w:val="both"/>
            </w:pPr>
          </w:p>
          <w:p w14:paraId="2B0CEB05" w14:textId="77777777" w:rsidR="00DF0EDA" w:rsidRPr="009D6F27" w:rsidRDefault="00DF0EDA" w:rsidP="004C4ADA">
            <w:pPr>
              <w:tabs>
                <w:tab w:val="left" w:pos="0"/>
                <w:tab w:val="left" w:pos="709"/>
                <w:tab w:val="left" w:pos="10206"/>
              </w:tabs>
              <w:contextualSpacing/>
              <w:jc w:val="both"/>
            </w:pPr>
          </w:p>
          <w:p w14:paraId="720A6148" w14:textId="77777777" w:rsidR="004C4ADA" w:rsidRPr="009D6F27" w:rsidRDefault="004C4ADA" w:rsidP="004C4ADA">
            <w:pPr>
              <w:tabs>
                <w:tab w:val="left" w:pos="0"/>
                <w:tab w:val="left" w:pos="709"/>
                <w:tab w:val="left" w:pos="10206"/>
              </w:tabs>
              <w:contextualSpacing/>
              <w:jc w:val="both"/>
            </w:pPr>
          </w:p>
          <w:p w14:paraId="13430676" w14:textId="7F491ADF" w:rsidR="004C4ADA" w:rsidRPr="009D6F27" w:rsidRDefault="004C4ADA" w:rsidP="004C4ADA">
            <w:pPr>
              <w:tabs>
                <w:tab w:val="left" w:pos="0"/>
                <w:tab w:val="left" w:pos="709"/>
                <w:tab w:val="left" w:pos="10206"/>
              </w:tabs>
              <w:contextualSpacing/>
              <w:jc w:val="both"/>
            </w:pPr>
            <w:r w:rsidRPr="009D6F27">
              <w:t>____________________ /</w:t>
            </w:r>
            <w:r w:rsidR="00DF0EDA">
              <w:rPr>
                <w:lang w:val="ru-RU"/>
              </w:rPr>
              <w:t xml:space="preserve">                                       </w:t>
            </w:r>
            <w:r w:rsidRPr="009D6F27">
              <w:t>/</w:t>
            </w:r>
          </w:p>
          <w:p w14:paraId="0D5BA7B9" w14:textId="77777777" w:rsidR="004C4ADA" w:rsidRPr="009D6F27" w:rsidRDefault="004C4ADA" w:rsidP="004C4ADA">
            <w:pPr>
              <w:tabs>
                <w:tab w:val="left" w:pos="0"/>
                <w:tab w:val="left" w:pos="709"/>
                <w:tab w:val="left" w:pos="10206"/>
              </w:tabs>
              <w:contextualSpacing/>
              <w:jc w:val="both"/>
            </w:pPr>
            <w:r w:rsidRPr="009D6F27">
              <w:t>м.п.</w:t>
            </w:r>
          </w:p>
        </w:tc>
        <w:tc>
          <w:tcPr>
            <w:tcW w:w="1250" w:type="pct"/>
            <w:shd w:val="clear" w:color="auto" w:fill="auto"/>
          </w:tcPr>
          <w:p w14:paraId="103E294B" w14:textId="77777777" w:rsidR="004C4ADA" w:rsidRPr="0001648A" w:rsidRDefault="004C4ADA" w:rsidP="004C4ADA">
            <w:pPr>
              <w:widowControl w:val="0"/>
              <w:snapToGrid w:val="0"/>
              <w:spacing w:after="120"/>
              <w:rPr>
                <w:rFonts w:eastAsia="Calibri"/>
                <w:b/>
                <w:bCs/>
                <w:sz w:val="22"/>
                <w:szCs w:val="22"/>
              </w:rPr>
            </w:pPr>
          </w:p>
        </w:tc>
        <w:tc>
          <w:tcPr>
            <w:tcW w:w="1250" w:type="pct"/>
            <w:shd w:val="clear" w:color="auto" w:fill="auto"/>
          </w:tcPr>
          <w:p w14:paraId="3BC2E7DB" w14:textId="77777777" w:rsidR="004C4ADA" w:rsidRPr="0001648A" w:rsidRDefault="004C4ADA" w:rsidP="004C4ADA">
            <w:pPr>
              <w:widowControl w:val="0"/>
              <w:snapToGrid w:val="0"/>
              <w:spacing w:after="120"/>
              <w:jc w:val="center"/>
              <w:rPr>
                <w:rFonts w:eastAsia="Calibri"/>
                <w:b/>
                <w:bCs/>
                <w:sz w:val="22"/>
                <w:szCs w:val="22"/>
              </w:rPr>
            </w:pPr>
          </w:p>
        </w:tc>
      </w:tr>
      <w:tr w:rsidR="004C4ADA" w:rsidRPr="0001648A" w14:paraId="1E3ADCB1" w14:textId="77777777" w:rsidTr="004C4ADA">
        <w:tc>
          <w:tcPr>
            <w:tcW w:w="1250" w:type="pct"/>
          </w:tcPr>
          <w:p w14:paraId="6A2F09AA" w14:textId="77777777" w:rsidR="004C4ADA" w:rsidRPr="003A6531" w:rsidRDefault="004C4ADA" w:rsidP="004C4ADA">
            <w:pPr>
              <w:widowControl w:val="0"/>
              <w:snapToGrid w:val="0"/>
              <w:rPr>
                <w:rFonts w:eastAsia="Calibri"/>
                <w:b/>
                <w:i/>
                <w:sz w:val="22"/>
                <w:szCs w:val="22"/>
              </w:rPr>
            </w:pPr>
          </w:p>
        </w:tc>
        <w:tc>
          <w:tcPr>
            <w:tcW w:w="1250" w:type="pct"/>
          </w:tcPr>
          <w:p w14:paraId="2992C149" w14:textId="77777777" w:rsidR="004C4ADA" w:rsidRPr="003A6531" w:rsidRDefault="004C4ADA" w:rsidP="004C4ADA">
            <w:pPr>
              <w:widowControl w:val="0"/>
              <w:snapToGrid w:val="0"/>
              <w:rPr>
                <w:rFonts w:eastAsia="Calibri"/>
                <w:b/>
                <w:i/>
                <w:sz w:val="22"/>
                <w:szCs w:val="22"/>
              </w:rPr>
            </w:pPr>
          </w:p>
        </w:tc>
        <w:tc>
          <w:tcPr>
            <w:tcW w:w="1250" w:type="pct"/>
            <w:shd w:val="clear" w:color="auto" w:fill="auto"/>
          </w:tcPr>
          <w:p w14:paraId="7E0DD107" w14:textId="77777777" w:rsidR="004C4ADA" w:rsidRPr="003A6531" w:rsidRDefault="004C4ADA" w:rsidP="004C4ADA">
            <w:pPr>
              <w:widowControl w:val="0"/>
              <w:snapToGrid w:val="0"/>
              <w:rPr>
                <w:rFonts w:eastAsia="Calibri"/>
                <w:b/>
                <w:i/>
                <w:sz w:val="22"/>
                <w:szCs w:val="22"/>
              </w:rPr>
            </w:pPr>
          </w:p>
        </w:tc>
        <w:tc>
          <w:tcPr>
            <w:tcW w:w="1250" w:type="pct"/>
            <w:shd w:val="clear" w:color="auto" w:fill="auto"/>
          </w:tcPr>
          <w:p w14:paraId="7318ECA1" w14:textId="77777777" w:rsidR="004C4ADA" w:rsidRPr="0001648A" w:rsidRDefault="004C4ADA" w:rsidP="004C4ADA">
            <w:pPr>
              <w:widowControl w:val="0"/>
              <w:snapToGrid w:val="0"/>
              <w:rPr>
                <w:rFonts w:eastAsia="Calibri"/>
                <w:b/>
                <w:bCs/>
                <w:sz w:val="22"/>
                <w:szCs w:val="22"/>
              </w:rPr>
            </w:pPr>
          </w:p>
        </w:tc>
      </w:tr>
    </w:tbl>
    <w:p w14:paraId="5331440C" w14:textId="77777777" w:rsidR="008A43D8" w:rsidRDefault="008A43D8" w:rsidP="00D46F70"/>
    <w:sectPr w:rsidR="008A43D8" w:rsidSect="00DF0E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22B29"/>
    <w:multiLevelType w:val="hybridMultilevel"/>
    <w:tmpl w:val="937C9A3A"/>
    <w:lvl w:ilvl="0" w:tplc="29C2813A">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563069"/>
    <w:multiLevelType w:val="multilevel"/>
    <w:tmpl w:val="D738F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617B2D"/>
    <w:multiLevelType w:val="hybridMultilevel"/>
    <w:tmpl w:val="1B0AA5FE"/>
    <w:lvl w:ilvl="0" w:tplc="97E220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575E61"/>
    <w:multiLevelType w:val="hybridMultilevel"/>
    <w:tmpl w:val="3ABCA866"/>
    <w:lvl w:ilvl="0" w:tplc="F18A0640">
      <w:start w:val="1"/>
      <w:numFmt w:val="bullet"/>
      <w:lvlText w:val="-"/>
      <w:lvlJc w:val="left"/>
      <w:pPr>
        <w:ind w:left="1065" w:hanging="360"/>
      </w:pPr>
      <w:rPr>
        <w:rFonts w:ascii="Times New Roman" w:eastAsia="Times New Roman" w:hAnsi="Times New Roman" w:cs="Times New Roman" w:hint="default"/>
        <w:b/>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16cid:durableId="695471528">
    <w:abstractNumId w:val="0"/>
  </w:num>
  <w:num w:numId="2" w16cid:durableId="757990205">
    <w:abstractNumId w:val="2"/>
  </w:num>
  <w:num w:numId="3" w16cid:durableId="1006399489">
    <w:abstractNumId w:val="1"/>
  </w:num>
  <w:num w:numId="4" w16cid:durableId="474835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A5"/>
    <w:rsid w:val="00012980"/>
    <w:rsid w:val="000715B0"/>
    <w:rsid w:val="000A1878"/>
    <w:rsid w:val="000F65BF"/>
    <w:rsid w:val="001056BE"/>
    <w:rsid w:val="00124DDE"/>
    <w:rsid w:val="00164B09"/>
    <w:rsid w:val="001A0D04"/>
    <w:rsid w:val="00231E30"/>
    <w:rsid w:val="00264E3A"/>
    <w:rsid w:val="00297E15"/>
    <w:rsid w:val="002A4309"/>
    <w:rsid w:val="002B4EEF"/>
    <w:rsid w:val="002D10DB"/>
    <w:rsid w:val="002F2D6B"/>
    <w:rsid w:val="00344489"/>
    <w:rsid w:val="00352260"/>
    <w:rsid w:val="003704FC"/>
    <w:rsid w:val="004146A5"/>
    <w:rsid w:val="004C4ADA"/>
    <w:rsid w:val="004D047A"/>
    <w:rsid w:val="004F3D1E"/>
    <w:rsid w:val="0050692A"/>
    <w:rsid w:val="00523DDF"/>
    <w:rsid w:val="005B004C"/>
    <w:rsid w:val="005F30B0"/>
    <w:rsid w:val="00610B23"/>
    <w:rsid w:val="006A37A0"/>
    <w:rsid w:val="006B16B8"/>
    <w:rsid w:val="007116B5"/>
    <w:rsid w:val="00723C63"/>
    <w:rsid w:val="00773559"/>
    <w:rsid w:val="0078494A"/>
    <w:rsid w:val="007A6188"/>
    <w:rsid w:val="007F7223"/>
    <w:rsid w:val="008054D6"/>
    <w:rsid w:val="00824C42"/>
    <w:rsid w:val="008315EE"/>
    <w:rsid w:val="00833832"/>
    <w:rsid w:val="008A43D8"/>
    <w:rsid w:val="009077EE"/>
    <w:rsid w:val="0091268D"/>
    <w:rsid w:val="00941F5E"/>
    <w:rsid w:val="00A15B8D"/>
    <w:rsid w:val="00A52580"/>
    <w:rsid w:val="00A54AFA"/>
    <w:rsid w:val="00A94BDE"/>
    <w:rsid w:val="00B151E1"/>
    <w:rsid w:val="00B15613"/>
    <w:rsid w:val="00B5092D"/>
    <w:rsid w:val="00B65E2F"/>
    <w:rsid w:val="00BC5985"/>
    <w:rsid w:val="00BD55DF"/>
    <w:rsid w:val="00C1209B"/>
    <w:rsid w:val="00C4075A"/>
    <w:rsid w:val="00C407D9"/>
    <w:rsid w:val="00C52541"/>
    <w:rsid w:val="00C64E8B"/>
    <w:rsid w:val="00C6561B"/>
    <w:rsid w:val="00D17591"/>
    <w:rsid w:val="00D3148C"/>
    <w:rsid w:val="00D34904"/>
    <w:rsid w:val="00D46F70"/>
    <w:rsid w:val="00D47FFE"/>
    <w:rsid w:val="00D611F3"/>
    <w:rsid w:val="00D94AC8"/>
    <w:rsid w:val="00DA1773"/>
    <w:rsid w:val="00DA5CD8"/>
    <w:rsid w:val="00DF0EDA"/>
    <w:rsid w:val="00E04826"/>
    <w:rsid w:val="00E241D5"/>
    <w:rsid w:val="00E54951"/>
    <w:rsid w:val="00E752FE"/>
    <w:rsid w:val="00E7548E"/>
    <w:rsid w:val="00ED1249"/>
    <w:rsid w:val="00F16136"/>
    <w:rsid w:val="00F25ECE"/>
    <w:rsid w:val="00F60593"/>
    <w:rsid w:val="00F90B8D"/>
    <w:rsid w:val="00FE026A"/>
    <w:rsid w:val="00FF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3CF4"/>
  <w15:chartTrackingRefBased/>
  <w15:docId w15:val="{BE5C3057-FF4D-4F91-B600-1F267062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F7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6F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D46F70"/>
    <w:pPr>
      <w:ind w:left="720"/>
      <w:contextualSpacing/>
    </w:pPr>
    <w:rPr>
      <w:rFonts w:ascii="Calibri" w:hAnsi="Calibri"/>
      <w:lang w:val="ru-RU" w:eastAsia="en-US"/>
    </w:rPr>
  </w:style>
  <w:style w:type="paragraph" w:styleId="a4">
    <w:name w:val="Plain Text"/>
    <w:basedOn w:val="a"/>
    <w:link w:val="a5"/>
    <w:uiPriority w:val="99"/>
    <w:unhideWhenUsed/>
    <w:rsid w:val="00D46F70"/>
    <w:rPr>
      <w:rFonts w:ascii="Calibri" w:eastAsiaTheme="minorHAnsi" w:hAnsi="Calibri" w:cs="Calibri"/>
      <w:sz w:val="22"/>
      <w:szCs w:val="22"/>
      <w:lang w:val="ru-RU" w:eastAsia="en-US"/>
    </w:rPr>
  </w:style>
  <w:style w:type="character" w:customStyle="1" w:styleId="a5">
    <w:name w:val="Текст Знак"/>
    <w:basedOn w:val="a0"/>
    <w:link w:val="a4"/>
    <w:uiPriority w:val="99"/>
    <w:rsid w:val="00D46F70"/>
    <w:rPr>
      <w:rFonts w:ascii="Calibri" w:hAnsi="Calibri" w:cs="Calibri"/>
    </w:rPr>
  </w:style>
  <w:style w:type="table" w:styleId="a6">
    <w:name w:val="Table Grid"/>
    <w:basedOn w:val="a1"/>
    <w:uiPriority w:val="39"/>
    <w:rsid w:val="0029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65E2F"/>
    <w:rPr>
      <w:rFonts w:ascii="Segoe UI" w:hAnsi="Segoe UI" w:cs="Segoe UI"/>
      <w:sz w:val="18"/>
      <w:szCs w:val="18"/>
    </w:rPr>
  </w:style>
  <w:style w:type="character" w:customStyle="1" w:styleId="a8">
    <w:name w:val="Текст выноски Знак"/>
    <w:basedOn w:val="a0"/>
    <w:link w:val="a7"/>
    <w:uiPriority w:val="99"/>
    <w:semiHidden/>
    <w:rsid w:val="00B65E2F"/>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9e301a-ba0f-4572-9236-36d56f1157db">SQUW2VZYFH7J-303-407860</_dlc_DocId>
    <_dlc_DocIdUrl xmlns="bb9e301a-ba0f-4572-9236-36d56f1157db">
      <Url>http://portal.ascania.local/sites/group/flora/_layouts/DocIdRedir.aspx?ID=SQUW2VZYFH7J-303-407860</Url>
      <Description>SQUW2VZYFH7J-303-407860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A09C3DE5DCFB54BABD0BA48688DDA2D" ma:contentTypeVersion="0" ma:contentTypeDescription="Создание документа." ma:contentTypeScope="" ma:versionID="ed01de8e94021e9a4687e628f8169997">
  <xsd:schema xmlns:xsd="http://www.w3.org/2001/XMLSchema" xmlns:xs="http://www.w3.org/2001/XMLSchema" xmlns:p="http://schemas.microsoft.com/office/2006/metadata/properties" xmlns:ns2="bb9e301a-ba0f-4572-9236-36d56f1157db" targetNamespace="http://schemas.microsoft.com/office/2006/metadata/properties" ma:root="true" ma:fieldsID="88b33443b624ca35cdfc7ec1912bf3fb" ns2:_="">
    <xsd:import namespace="bb9e301a-ba0f-4572-9236-36d56f1157d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e301a-ba0f-4572-9236-36d56f1157d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693F1-9980-4CCA-80CA-7304F447960D}">
  <ds:schemaRefs>
    <ds:schemaRef ds:uri="http://schemas.microsoft.com/office/2006/metadata/properties"/>
    <ds:schemaRef ds:uri="http://schemas.microsoft.com/office/infopath/2007/PartnerControls"/>
    <ds:schemaRef ds:uri="bb9e301a-ba0f-4572-9236-36d56f1157db"/>
  </ds:schemaRefs>
</ds:datastoreItem>
</file>

<file path=customXml/itemProps2.xml><?xml version="1.0" encoding="utf-8"?>
<ds:datastoreItem xmlns:ds="http://schemas.openxmlformats.org/officeDocument/2006/customXml" ds:itemID="{26ACB193-F25C-479F-A076-0D45ADB735E7}">
  <ds:schemaRefs>
    <ds:schemaRef ds:uri="http://schemas.microsoft.com/sharepoint/events"/>
  </ds:schemaRefs>
</ds:datastoreItem>
</file>

<file path=customXml/itemProps3.xml><?xml version="1.0" encoding="utf-8"?>
<ds:datastoreItem xmlns:ds="http://schemas.openxmlformats.org/officeDocument/2006/customXml" ds:itemID="{F0EE97ED-DA03-4981-BCA6-4EFBD5DB3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e301a-ba0f-4572-9236-36d56f115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FFBED-B4D4-42B9-A70B-0AD3E1480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Глагоцкая</dc:creator>
  <cp:keywords/>
  <dc:description/>
  <cp:lastModifiedBy>Тендер2</cp:lastModifiedBy>
  <cp:revision>34</cp:revision>
  <cp:lastPrinted>2020-07-30T10:04:00Z</cp:lastPrinted>
  <dcterms:created xsi:type="dcterms:W3CDTF">2020-07-30T09:57:00Z</dcterms:created>
  <dcterms:modified xsi:type="dcterms:W3CDTF">2023-11-10T07:29:00Z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57708ac1-c0d4-4f5a-9952-ce1b8320ab8a</vt:lpwstr>
  </property>
  <property fmtid="{D5CDD505-2E9C-101B-9397-08002B2CF9AE}" pid="3" name="ContentTypeId">
    <vt:lpwstr>0x010100EA09C3DE5DCFB54BABD0BA48688DDA2D</vt:lpwstr>
  </property>
</Properties>
</file>